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88" w:type="dxa"/>
        <w:tblLook w:val="06A0" w:firstRow="1" w:lastRow="0" w:firstColumn="1" w:lastColumn="0" w:noHBand="1" w:noVBand="1"/>
      </w:tblPr>
      <w:tblGrid>
        <w:gridCol w:w="13788"/>
      </w:tblGrid>
      <w:tr w:rsidR="00DA5884" w14:paraId="396B590A" w14:textId="77777777" w:rsidTr="006E05E7">
        <w:trPr>
          <w:trHeight w:val="300"/>
        </w:trPr>
        <w:tc>
          <w:tcPr>
            <w:tcW w:w="13788" w:type="dxa"/>
            <w:shd w:val="clear" w:color="auto" w:fill="660733"/>
          </w:tcPr>
          <w:p w14:paraId="0234060D" w14:textId="77777777" w:rsidR="00DA5884" w:rsidRPr="002930F0" w:rsidRDefault="00DA5884" w:rsidP="006E05E7">
            <w:pPr>
              <w:pStyle w:val="BodyText"/>
              <w:rPr>
                <w:rFonts w:ascii="Calibri" w:eastAsia="Calibri" w:hAnsi="Calibri" w:cs="Calibri"/>
                <w:b/>
                <w:bCs/>
                <w:sz w:val="22"/>
                <w:szCs w:val="22"/>
              </w:rPr>
            </w:pPr>
            <w:r w:rsidRPr="002930F0">
              <w:rPr>
                <w:rFonts w:ascii="Calibri" w:eastAsia="Calibri" w:hAnsi="Calibri" w:cs="Calibri"/>
                <w:b/>
                <w:bCs/>
                <w:sz w:val="22"/>
                <w:szCs w:val="22"/>
              </w:rPr>
              <w:t xml:space="preserve">SOUTHERN ILLINOIS UNVERSITY CARBONDALE                                                                                                                                       CAEP REPORT AY 2024-2025 </w:t>
            </w:r>
          </w:p>
          <w:p w14:paraId="20D8D4E0" w14:textId="77777777" w:rsidR="00DA5884" w:rsidRDefault="00DA5884" w:rsidP="006E05E7">
            <w:pPr>
              <w:pStyle w:val="BodyText"/>
              <w:rPr>
                <w:rFonts w:ascii="Calibri" w:eastAsia="Calibri" w:hAnsi="Calibri" w:cs="Calibri"/>
                <w:sz w:val="22"/>
                <w:szCs w:val="22"/>
              </w:rPr>
            </w:pPr>
          </w:p>
        </w:tc>
      </w:tr>
      <w:tr w:rsidR="00DA5884" w14:paraId="4B5B82B8" w14:textId="77777777" w:rsidTr="006E05E7">
        <w:trPr>
          <w:trHeight w:val="300"/>
        </w:trPr>
        <w:tc>
          <w:tcPr>
            <w:tcW w:w="13788" w:type="dxa"/>
            <w:shd w:val="clear" w:color="auto" w:fill="808080" w:themeFill="background1" w:themeFillShade="80"/>
          </w:tcPr>
          <w:p w14:paraId="66439FEF" w14:textId="77777777" w:rsidR="00DA5884" w:rsidRDefault="00DA5884" w:rsidP="006E05E7">
            <w:pPr>
              <w:pStyle w:val="BodyText"/>
              <w:rPr>
                <w:rFonts w:ascii="Calibri" w:eastAsia="Calibri" w:hAnsi="Calibri" w:cs="Calibri"/>
                <w:sz w:val="22"/>
                <w:szCs w:val="22"/>
              </w:rPr>
            </w:pPr>
            <w:r w:rsidRPr="20231382">
              <w:rPr>
                <w:rFonts w:ascii="Calibri" w:eastAsia="Calibri" w:hAnsi="Calibri" w:cs="Calibri"/>
                <w:sz w:val="22"/>
                <w:szCs w:val="22"/>
              </w:rPr>
              <w:t xml:space="preserve"> </w:t>
            </w:r>
          </w:p>
        </w:tc>
      </w:tr>
    </w:tbl>
    <w:p w14:paraId="10B2A018" w14:textId="77777777" w:rsidR="00DA5884" w:rsidRDefault="00DA5884" w:rsidP="00DA5884">
      <w:pPr>
        <w:pStyle w:val="BodyText"/>
        <w:rPr>
          <w:rFonts w:ascii="Calibri" w:eastAsia="Calibri" w:hAnsi="Calibri" w:cs="Calibri"/>
          <w:sz w:val="22"/>
          <w:szCs w:val="22"/>
        </w:rPr>
      </w:pPr>
    </w:p>
    <w:p w14:paraId="2FB464A1" w14:textId="77777777" w:rsidR="00DA5884" w:rsidRDefault="00DA5884" w:rsidP="00DA5884">
      <w:pPr>
        <w:pStyle w:val="BodyText"/>
        <w:spacing w:before="138"/>
        <w:ind w:left="2160" w:right="2160"/>
        <w:rPr>
          <w:sz w:val="32"/>
          <w:szCs w:val="32"/>
        </w:rPr>
      </w:pPr>
    </w:p>
    <w:p w14:paraId="02124C60" w14:textId="170D705E" w:rsidR="59FD2E7B" w:rsidRPr="0095783C" w:rsidRDefault="59FD2E7B" w:rsidP="59FD2E7B">
      <w:pPr>
        <w:pStyle w:val="Heading1"/>
      </w:pPr>
    </w:p>
    <w:p w14:paraId="00B740D7" w14:textId="5707B843" w:rsidR="00FB03E9" w:rsidRPr="00DA5884" w:rsidRDefault="00DA5884" w:rsidP="00DA5884">
      <w:pPr>
        <w:pStyle w:val="Heading1"/>
        <w:ind w:left="0"/>
        <w:rPr>
          <w:sz w:val="32"/>
          <w:szCs w:val="32"/>
        </w:rPr>
      </w:pPr>
      <w:r>
        <w:t xml:space="preserve">                                   </w:t>
      </w:r>
      <w:r w:rsidR="00CE5737" w:rsidRPr="00DA5884">
        <w:rPr>
          <w:sz w:val="32"/>
          <w:szCs w:val="32"/>
        </w:rPr>
        <w:t>MEASURE</w:t>
      </w:r>
      <w:r w:rsidR="00CE5737" w:rsidRPr="00DA5884">
        <w:rPr>
          <w:spacing w:val="-9"/>
          <w:sz w:val="32"/>
          <w:szCs w:val="32"/>
        </w:rPr>
        <w:t xml:space="preserve"> </w:t>
      </w:r>
      <w:r w:rsidR="00CE5737" w:rsidRPr="00DA5884">
        <w:rPr>
          <w:sz w:val="32"/>
          <w:szCs w:val="32"/>
        </w:rPr>
        <w:t>1:</w:t>
      </w:r>
      <w:r w:rsidR="00CE5737" w:rsidRPr="00DA5884">
        <w:rPr>
          <w:spacing w:val="-7"/>
          <w:sz w:val="32"/>
          <w:szCs w:val="32"/>
        </w:rPr>
        <w:t xml:space="preserve"> </w:t>
      </w:r>
      <w:r w:rsidR="00CE5737" w:rsidRPr="00DA5884">
        <w:rPr>
          <w:sz w:val="32"/>
          <w:szCs w:val="32"/>
        </w:rPr>
        <w:t>COMPLETER</w:t>
      </w:r>
      <w:r w:rsidR="00CE5737" w:rsidRPr="00DA5884">
        <w:rPr>
          <w:spacing w:val="-5"/>
          <w:sz w:val="32"/>
          <w:szCs w:val="32"/>
        </w:rPr>
        <w:t xml:space="preserve"> </w:t>
      </w:r>
      <w:r w:rsidR="00CE5737" w:rsidRPr="00DA5884">
        <w:rPr>
          <w:sz w:val="32"/>
          <w:szCs w:val="32"/>
        </w:rPr>
        <w:t>IMPACT</w:t>
      </w:r>
      <w:r w:rsidR="00CE5737" w:rsidRPr="00DA5884">
        <w:rPr>
          <w:spacing w:val="-5"/>
          <w:sz w:val="32"/>
          <w:szCs w:val="32"/>
        </w:rPr>
        <w:t xml:space="preserve"> </w:t>
      </w:r>
      <w:r w:rsidR="00CE5737" w:rsidRPr="00DA5884">
        <w:rPr>
          <w:sz w:val="32"/>
          <w:szCs w:val="32"/>
        </w:rPr>
        <w:t>AND</w:t>
      </w:r>
      <w:r w:rsidR="00CE5737" w:rsidRPr="00DA5884">
        <w:rPr>
          <w:spacing w:val="-6"/>
          <w:sz w:val="32"/>
          <w:szCs w:val="32"/>
        </w:rPr>
        <w:t xml:space="preserve"> </w:t>
      </w:r>
      <w:r w:rsidR="00CE5737" w:rsidRPr="00DA5884">
        <w:rPr>
          <w:sz w:val="32"/>
          <w:szCs w:val="32"/>
        </w:rPr>
        <w:t>EFFECTIVENESS</w:t>
      </w:r>
      <w:r w:rsidR="00CE5737" w:rsidRPr="00DA5884">
        <w:rPr>
          <w:spacing w:val="-6"/>
          <w:sz w:val="32"/>
          <w:szCs w:val="32"/>
        </w:rPr>
        <w:t xml:space="preserve"> </w:t>
      </w:r>
      <w:r w:rsidR="00CE5737" w:rsidRPr="00DA5884">
        <w:rPr>
          <w:sz w:val="32"/>
          <w:szCs w:val="32"/>
        </w:rPr>
        <w:t>(R4.1)</w:t>
      </w:r>
    </w:p>
    <w:p w14:paraId="558838BD" w14:textId="147D8CD5" w:rsidR="00FB03E9" w:rsidRPr="00DA5884" w:rsidRDefault="00CE5737" w:rsidP="6E6973B9">
      <w:pPr>
        <w:spacing w:before="97" w:line="276" w:lineRule="auto"/>
        <w:jc w:val="center"/>
        <w:rPr>
          <w:b/>
          <w:bCs/>
          <w:sz w:val="32"/>
          <w:szCs w:val="32"/>
        </w:rPr>
      </w:pPr>
      <w:r w:rsidRPr="00DA5884">
        <w:rPr>
          <w:b/>
          <w:bCs/>
          <w:sz w:val="32"/>
          <w:szCs w:val="32"/>
        </w:rPr>
        <w:t xml:space="preserve">Initial and Advanced Programs </w:t>
      </w:r>
    </w:p>
    <w:p w14:paraId="3C86A6B0" w14:textId="3F0A4025" w:rsidR="00FB03E9" w:rsidRPr="00DA5884" w:rsidRDefault="00CE5737" w:rsidP="6E6973B9">
      <w:pPr>
        <w:spacing w:before="97" w:line="276" w:lineRule="auto"/>
        <w:jc w:val="center"/>
        <w:rPr>
          <w:b/>
          <w:bCs/>
          <w:sz w:val="32"/>
          <w:szCs w:val="32"/>
        </w:rPr>
      </w:pPr>
      <w:r w:rsidRPr="00DA5884">
        <w:rPr>
          <w:b/>
          <w:bCs/>
          <w:sz w:val="32"/>
          <w:szCs w:val="32"/>
        </w:rPr>
        <w:t>ADMINISTRATOR</w:t>
      </w:r>
      <w:r w:rsidRPr="00DA5884">
        <w:rPr>
          <w:b/>
          <w:bCs/>
          <w:spacing w:val="-13"/>
          <w:sz w:val="32"/>
          <w:szCs w:val="32"/>
        </w:rPr>
        <w:t xml:space="preserve"> </w:t>
      </w:r>
      <w:r w:rsidRPr="00DA5884">
        <w:rPr>
          <w:b/>
          <w:bCs/>
          <w:sz w:val="32"/>
          <w:szCs w:val="32"/>
        </w:rPr>
        <w:t>EVALUATION</w:t>
      </w:r>
      <w:r w:rsidRPr="00DA5884">
        <w:rPr>
          <w:b/>
          <w:bCs/>
          <w:spacing w:val="-12"/>
          <w:sz w:val="32"/>
          <w:szCs w:val="32"/>
        </w:rPr>
        <w:t xml:space="preserve"> </w:t>
      </w:r>
      <w:r w:rsidRPr="00DA5884">
        <w:rPr>
          <w:b/>
          <w:bCs/>
          <w:sz w:val="32"/>
          <w:szCs w:val="32"/>
        </w:rPr>
        <w:t>OF</w:t>
      </w:r>
      <w:r w:rsidRPr="00DA5884">
        <w:rPr>
          <w:b/>
          <w:bCs/>
          <w:spacing w:val="-13"/>
          <w:sz w:val="32"/>
          <w:szCs w:val="32"/>
        </w:rPr>
        <w:t xml:space="preserve"> </w:t>
      </w:r>
      <w:r w:rsidRPr="00DA5884">
        <w:rPr>
          <w:b/>
          <w:bCs/>
          <w:sz w:val="32"/>
          <w:szCs w:val="32"/>
        </w:rPr>
        <w:t>EDUCATORS</w:t>
      </w:r>
    </w:p>
    <w:p w14:paraId="14B57203" w14:textId="77777777" w:rsidR="00FB03E9" w:rsidRPr="00DA5884" w:rsidRDefault="00FB03E9">
      <w:pPr>
        <w:pStyle w:val="BodyText"/>
        <w:rPr>
          <w:b/>
          <w:sz w:val="32"/>
          <w:szCs w:val="32"/>
        </w:rPr>
      </w:pPr>
    </w:p>
    <w:p w14:paraId="0FE3A493" w14:textId="77777777" w:rsidR="00FB03E9" w:rsidRPr="0095783C" w:rsidRDefault="00FB03E9">
      <w:pPr>
        <w:pStyle w:val="BodyText"/>
        <w:spacing w:before="280"/>
        <w:rPr>
          <w:b/>
          <w:sz w:val="28"/>
        </w:rPr>
      </w:pPr>
    </w:p>
    <w:p w14:paraId="2B2D59D2" w14:textId="77777777" w:rsidR="00FB03E9" w:rsidRPr="0095783C" w:rsidRDefault="00CE5737" w:rsidP="59FD2E7B">
      <w:pPr>
        <w:pStyle w:val="Heading2"/>
        <w:ind w:left="1440" w:right="1440"/>
      </w:pPr>
      <w:r w:rsidRPr="0095783C">
        <w:rPr>
          <w:spacing w:val="-2"/>
        </w:rPr>
        <w:t>BACKGROUND</w:t>
      </w:r>
    </w:p>
    <w:p w14:paraId="05DB8C88" w14:textId="77777777" w:rsidR="00FB03E9" w:rsidRPr="0095783C" w:rsidRDefault="00CE5737" w:rsidP="59FD2E7B">
      <w:pPr>
        <w:pStyle w:val="BodyText"/>
        <w:spacing w:before="42"/>
        <w:ind w:left="1440" w:right="1440"/>
        <w:jc w:val="both"/>
      </w:pPr>
      <w:r w:rsidRPr="0095783C">
        <w:t>Beginning June 2018, the Illinois State Board of</w:t>
      </w:r>
      <w:r w:rsidRPr="0095783C">
        <w:rPr>
          <w:spacing w:val="-1"/>
        </w:rPr>
        <w:t xml:space="preserve"> </w:t>
      </w:r>
      <w:r w:rsidRPr="0095783C">
        <w:t>Education (ISBE) began reporting to Educator Preparation Programs (EPP) the latest educator</w:t>
      </w:r>
      <w:r w:rsidRPr="0095783C">
        <w:rPr>
          <w:spacing w:val="-2"/>
        </w:rPr>
        <w:t xml:space="preserve"> </w:t>
      </w:r>
      <w:r w:rsidRPr="0095783C">
        <w:t>evaluation</w:t>
      </w:r>
      <w:r w:rsidRPr="0095783C">
        <w:rPr>
          <w:spacing w:val="-3"/>
        </w:rPr>
        <w:t xml:space="preserve"> </w:t>
      </w:r>
      <w:r w:rsidRPr="0095783C">
        <w:t>data</w:t>
      </w:r>
      <w:r w:rsidRPr="0095783C">
        <w:rPr>
          <w:spacing w:val="-2"/>
        </w:rPr>
        <w:t xml:space="preserve"> </w:t>
      </w:r>
      <w:r w:rsidRPr="0095783C">
        <w:t>on</w:t>
      </w:r>
      <w:r w:rsidRPr="0095783C">
        <w:rPr>
          <w:spacing w:val="-3"/>
        </w:rPr>
        <w:t xml:space="preserve"> </w:t>
      </w:r>
      <w:r w:rsidRPr="0095783C">
        <w:t>completers.</w:t>
      </w:r>
      <w:r w:rsidRPr="0095783C">
        <w:rPr>
          <w:spacing w:val="-3"/>
        </w:rPr>
        <w:t xml:space="preserve"> </w:t>
      </w:r>
      <w:r w:rsidRPr="0095783C">
        <w:t>The</w:t>
      </w:r>
      <w:r w:rsidRPr="0095783C">
        <w:rPr>
          <w:spacing w:val="-2"/>
        </w:rPr>
        <w:t xml:space="preserve"> </w:t>
      </w:r>
      <w:r w:rsidRPr="0095783C">
        <w:t>final</w:t>
      </w:r>
      <w:r w:rsidRPr="0095783C">
        <w:rPr>
          <w:spacing w:val="-1"/>
        </w:rPr>
        <w:t xml:space="preserve"> </w:t>
      </w:r>
      <w:r w:rsidRPr="0095783C">
        <w:t>rating</w:t>
      </w:r>
      <w:r w:rsidRPr="0095783C">
        <w:rPr>
          <w:spacing w:val="-3"/>
        </w:rPr>
        <w:t xml:space="preserve"> </w:t>
      </w:r>
      <w:r w:rsidRPr="0095783C">
        <w:t>reported</w:t>
      </w:r>
      <w:r w:rsidRPr="0095783C">
        <w:rPr>
          <w:spacing w:val="-1"/>
        </w:rPr>
        <w:t xml:space="preserve"> </w:t>
      </w:r>
      <w:r w:rsidRPr="0095783C">
        <w:t>for</w:t>
      </w:r>
      <w:r w:rsidRPr="0095783C">
        <w:rPr>
          <w:spacing w:val="-1"/>
        </w:rPr>
        <w:t xml:space="preserve"> </w:t>
      </w:r>
      <w:r w:rsidRPr="0095783C">
        <w:t>completers</w:t>
      </w:r>
      <w:r w:rsidRPr="0095783C">
        <w:rPr>
          <w:spacing w:val="-2"/>
        </w:rPr>
        <w:t xml:space="preserve"> </w:t>
      </w:r>
      <w:r w:rsidRPr="0095783C">
        <w:t>is</w:t>
      </w:r>
      <w:r w:rsidRPr="0095783C">
        <w:rPr>
          <w:spacing w:val="-3"/>
        </w:rPr>
        <w:t xml:space="preserve"> </w:t>
      </w:r>
      <w:r w:rsidRPr="0095783C">
        <w:t>based</w:t>
      </w:r>
      <w:r w:rsidRPr="0095783C">
        <w:rPr>
          <w:spacing w:val="-3"/>
        </w:rPr>
        <w:t xml:space="preserve"> </w:t>
      </w:r>
      <w:r w:rsidRPr="0095783C">
        <w:t>on</w:t>
      </w:r>
      <w:r w:rsidRPr="0095783C">
        <w:rPr>
          <w:spacing w:val="-3"/>
        </w:rPr>
        <w:t xml:space="preserve"> </w:t>
      </w:r>
      <w:r w:rsidRPr="0095783C">
        <w:t>two</w:t>
      </w:r>
      <w:r w:rsidRPr="0095783C">
        <w:rPr>
          <w:spacing w:val="-1"/>
        </w:rPr>
        <w:t xml:space="preserve"> </w:t>
      </w:r>
      <w:r w:rsidRPr="0095783C">
        <w:t>factors:</w:t>
      </w:r>
      <w:r w:rsidRPr="0095783C">
        <w:rPr>
          <w:spacing w:val="-3"/>
        </w:rPr>
        <w:t xml:space="preserve"> </w:t>
      </w:r>
      <w:r w:rsidRPr="0095783C">
        <w:t>observations</w:t>
      </w:r>
      <w:r w:rsidRPr="0095783C">
        <w:rPr>
          <w:spacing w:val="-3"/>
        </w:rPr>
        <w:t xml:space="preserve"> </w:t>
      </w:r>
      <w:r w:rsidRPr="0095783C">
        <w:t>of</w:t>
      </w:r>
      <w:r w:rsidRPr="0095783C">
        <w:rPr>
          <w:spacing w:val="-3"/>
        </w:rPr>
        <w:t xml:space="preserve"> </w:t>
      </w:r>
      <w:r w:rsidRPr="0095783C">
        <w:t>their teaching practice by a qualified administrator and P-12 student growth. ISBE considers the student growth portions of the rating a “significant</w:t>
      </w:r>
    </w:p>
    <w:p w14:paraId="52AAFC92" w14:textId="77777777" w:rsidR="00FB03E9" w:rsidRPr="0095783C" w:rsidRDefault="00CE5737" w:rsidP="59FD2E7B">
      <w:pPr>
        <w:pStyle w:val="BodyText"/>
        <w:ind w:left="1440" w:right="1440"/>
        <w:jc w:val="both"/>
      </w:pPr>
      <w:r w:rsidRPr="0095783C">
        <w:t>factor”</w:t>
      </w:r>
      <w:r w:rsidRPr="0095783C">
        <w:rPr>
          <w:spacing w:val="-2"/>
        </w:rPr>
        <w:t xml:space="preserve"> </w:t>
      </w:r>
      <w:r w:rsidRPr="0095783C">
        <w:t>that</w:t>
      </w:r>
      <w:r w:rsidRPr="0095783C">
        <w:rPr>
          <w:spacing w:val="-1"/>
        </w:rPr>
        <w:t xml:space="preserve"> </w:t>
      </w:r>
      <w:r w:rsidRPr="0095783C">
        <w:t>makes</w:t>
      </w:r>
      <w:r w:rsidRPr="0095783C">
        <w:rPr>
          <w:spacing w:val="-1"/>
        </w:rPr>
        <w:t xml:space="preserve"> </w:t>
      </w:r>
      <w:r w:rsidRPr="0095783C">
        <w:t>up</w:t>
      </w:r>
      <w:r w:rsidRPr="0095783C">
        <w:rPr>
          <w:spacing w:val="-1"/>
        </w:rPr>
        <w:t xml:space="preserve"> </w:t>
      </w:r>
      <w:r w:rsidRPr="0095783C">
        <w:t>at least</w:t>
      </w:r>
      <w:r w:rsidRPr="0095783C">
        <w:rPr>
          <w:spacing w:val="-1"/>
        </w:rPr>
        <w:t xml:space="preserve"> </w:t>
      </w:r>
      <w:r w:rsidRPr="0095783C">
        <w:t>30%</w:t>
      </w:r>
      <w:r w:rsidRPr="0095783C">
        <w:rPr>
          <w:spacing w:val="-1"/>
        </w:rPr>
        <w:t xml:space="preserve"> </w:t>
      </w:r>
      <w:r w:rsidRPr="0095783C">
        <w:t>of</w:t>
      </w:r>
      <w:r w:rsidRPr="0095783C">
        <w:rPr>
          <w:spacing w:val="-1"/>
        </w:rPr>
        <w:t xml:space="preserve"> </w:t>
      </w:r>
      <w:r w:rsidRPr="0095783C">
        <w:t xml:space="preserve">the final </w:t>
      </w:r>
      <w:r w:rsidRPr="0095783C">
        <w:rPr>
          <w:spacing w:val="-2"/>
        </w:rPr>
        <w:t>rating.</w:t>
      </w:r>
    </w:p>
    <w:p w14:paraId="04A84B9A" w14:textId="77777777" w:rsidR="00FB03E9" w:rsidRPr="0095783C" w:rsidRDefault="00FB03E9" w:rsidP="59FD2E7B">
      <w:pPr>
        <w:pStyle w:val="BodyText"/>
        <w:ind w:left="1440" w:right="1440"/>
      </w:pPr>
    </w:p>
    <w:p w14:paraId="47690F43" w14:textId="77777777" w:rsidR="00FB03E9" w:rsidRPr="0095783C" w:rsidRDefault="00CE5737" w:rsidP="59FD2E7B">
      <w:pPr>
        <w:pStyle w:val="Heading2"/>
        <w:ind w:left="1440" w:right="1440"/>
      </w:pPr>
      <w:r w:rsidRPr="0095783C">
        <w:t>CRITERIA</w:t>
      </w:r>
      <w:r w:rsidRPr="0095783C">
        <w:rPr>
          <w:spacing w:val="-2"/>
        </w:rPr>
        <w:t xml:space="preserve"> </w:t>
      </w:r>
      <w:r w:rsidRPr="0095783C">
        <w:t xml:space="preserve">OF </w:t>
      </w:r>
      <w:r w:rsidRPr="0095783C">
        <w:rPr>
          <w:spacing w:val="-2"/>
        </w:rPr>
        <w:t>SUCCESS</w:t>
      </w:r>
    </w:p>
    <w:p w14:paraId="247B5FA6" w14:textId="77777777" w:rsidR="00FB03E9" w:rsidRPr="0095783C" w:rsidRDefault="00CE5737" w:rsidP="59FD2E7B">
      <w:pPr>
        <w:ind w:left="1440" w:right="1440"/>
        <w:jc w:val="both"/>
        <w:rPr>
          <w:sz w:val="24"/>
          <w:szCs w:val="24"/>
        </w:rPr>
      </w:pPr>
      <w:r w:rsidRPr="0095783C">
        <w:rPr>
          <w:sz w:val="24"/>
          <w:szCs w:val="24"/>
        </w:rPr>
        <w:t>The</w:t>
      </w:r>
      <w:r w:rsidRPr="0095783C">
        <w:rPr>
          <w:spacing w:val="-4"/>
          <w:sz w:val="24"/>
          <w:szCs w:val="24"/>
        </w:rPr>
        <w:t xml:space="preserve"> </w:t>
      </w:r>
      <w:r w:rsidRPr="0095783C">
        <w:rPr>
          <w:sz w:val="24"/>
          <w:szCs w:val="24"/>
        </w:rPr>
        <w:t>educator</w:t>
      </w:r>
      <w:r w:rsidRPr="0095783C">
        <w:rPr>
          <w:spacing w:val="-1"/>
          <w:sz w:val="24"/>
          <w:szCs w:val="24"/>
        </w:rPr>
        <w:t xml:space="preserve"> </w:t>
      </w:r>
      <w:r w:rsidRPr="0095783C">
        <w:rPr>
          <w:sz w:val="24"/>
          <w:szCs w:val="24"/>
        </w:rPr>
        <w:t>evaluation</w:t>
      </w:r>
      <w:r w:rsidRPr="0095783C">
        <w:rPr>
          <w:spacing w:val="-1"/>
          <w:sz w:val="24"/>
          <w:szCs w:val="24"/>
        </w:rPr>
        <w:t xml:space="preserve"> </w:t>
      </w:r>
      <w:r w:rsidRPr="0095783C">
        <w:rPr>
          <w:sz w:val="24"/>
          <w:szCs w:val="24"/>
        </w:rPr>
        <w:t>ratings</w:t>
      </w:r>
      <w:r w:rsidRPr="0095783C">
        <w:rPr>
          <w:spacing w:val="-1"/>
          <w:sz w:val="24"/>
          <w:szCs w:val="24"/>
        </w:rPr>
        <w:t xml:space="preserve"> </w:t>
      </w:r>
      <w:r w:rsidRPr="0095783C">
        <w:rPr>
          <w:sz w:val="24"/>
          <w:szCs w:val="24"/>
        </w:rPr>
        <w:t>are</w:t>
      </w:r>
      <w:r w:rsidRPr="0095783C">
        <w:rPr>
          <w:spacing w:val="-1"/>
          <w:sz w:val="24"/>
          <w:szCs w:val="24"/>
        </w:rPr>
        <w:t xml:space="preserve"> </w:t>
      </w:r>
      <w:r w:rsidRPr="00DA5884">
        <w:rPr>
          <w:sz w:val="24"/>
          <w:szCs w:val="24"/>
        </w:rPr>
        <w:t>Excellent,</w:t>
      </w:r>
      <w:r w:rsidRPr="00DA5884">
        <w:rPr>
          <w:spacing w:val="-1"/>
          <w:sz w:val="24"/>
          <w:szCs w:val="24"/>
        </w:rPr>
        <w:t xml:space="preserve"> </w:t>
      </w:r>
      <w:r w:rsidRPr="00DA5884">
        <w:rPr>
          <w:sz w:val="24"/>
          <w:szCs w:val="24"/>
        </w:rPr>
        <w:t>Proficient,</w:t>
      </w:r>
      <w:r w:rsidRPr="00DA5884">
        <w:rPr>
          <w:spacing w:val="-1"/>
          <w:sz w:val="24"/>
          <w:szCs w:val="24"/>
        </w:rPr>
        <w:t xml:space="preserve"> </w:t>
      </w:r>
      <w:r w:rsidRPr="00DA5884">
        <w:rPr>
          <w:sz w:val="24"/>
          <w:szCs w:val="24"/>
        </w:rPr>
        <w:t>and</w:t>
      </w:r>
      <w:r w:rsidRPr="00DA5884">
        <w:rPr>
          <w:spacing w:val="-1"/>
          <w:sz w:val="24"/>
          <w:szCs w:val="24"/>
        </w:rPr>
        <w:t xml:space="preserve"> </w:t>
      </w:r>
      <w:r w:rsidRPr="00DA5884">
        <w:rPr>
          <w:sz w:val="24"/>
          <w:szCs w:val="24"/>
        </w:rPr>
        <w:t>Unsatisfactory</w:t>
      </w:r>
      <w:r w:rsidRPr="0095783C">
        <w:rPr>
          <w:i/>
          <w:iCs/>
          <w:spacing w:val="-1"/>
          <w:sz w:val="24"/>
          <w:szCs w:val="24"/>
        </w:rPr>
        <w:t xml:space="preserve"> </w:t>
      </w:r>
      <w:r w:rsidRPr="0095783C">
        <w:rPr>
          <w:sz w:val="24"/>
          <w:szCs w:val="24"/>
        </w:rPr>
        <w:t>is</w:t>
      </w:r>
      <w:r w:rsidRPr="0095783C">
        <w:rPr>
          <w:spacing w:val="-1"/>
          <w:sz w:val="24"/>
          <w:szCs w:val="24"/>
        </w:rPr>
        <w:t xml:space="preserve"> </w:t>
      </w:r>
      <w:r w:rsidRPr="0095783C">
        <w:rPr>
          <w:sz w:val="24"/>
          <w:szCs w:val="24"/>
        </w:rPr>
        <w:t>required</w:t>
      </w:r>
      <w:r w:rsidRPr="0095783C">
        <w:rPr>
          <w:spacing w:val="-1"/>
          <w:sz w:val="24"/>
          <w:szCs w:val="24"/>
        </w:rPr>
        <w:t xml:space="preserve"> </w:t>
      </w:r>
      <w:r w:rsidRPr="0095783C">
        <w:rPr>
          <w:sz w:val="24"/>
          <w:szCs w:val="24"/>
        </w:rPr>
        <w:t>in</w:t>
      </w:r>
      <w:r w:rsidRPr="0095783C">
        <w:rPr>
          <w:spacing w:val="-2"/>
          <w:sz w:val="24"/>
          <w:szCs w:val="24"/>
        </w:rPr>
        <w:t xml:space="preserve"> </w:t>
      </w:r>
      <w:r w:rsidRPr="0095783C">
        <w:rPr>
          <w:sz w:val="24"/>
          <w:szCs w:val="24"/>
        </w:rPr>
        <w:t>the Illinois</w:t>
      </w:r>
      <w:r w:rsidRPr="0095783C">
        <w:rPr>
          <w:spacing w:val="-1"/>
          <w:sz w:val="24"/>
          <w:szCs w:val="24"/>
        </w:rPr>
        <w:t xml:space="preserve"> </w:t>
      </w:r>
      <w:r w:rsidRPr="0095783C">
        <w:rPr>
          <w:sz w:val="24"/>
          <w:szCs w:val="24"/>
        </w:rPr>
        <w:t>statute.</w:t>
      </w:r>
      <w:r w:rsidRPr="0095783C">
        <w:rPr>
          <w:spacing w:val="-1"/>
          <w:sz w:val="24"/>
          <w:szCs w:val="24"/>
        </w:rPr>
        <w:t xml:space="preserve"> </w:t>
      </w:r>
      <w:r w:rsidRPr="0095783C">
        <w:rPr>
          <w:sz w:val="24"/>
          <w:szCs w:val="24"/>
        </w:rPr>
        <w:t>ISBE</w:t>
      </w:r>
      <w:r w:rsidRPr="0095783C">
        <w:rPr>
          <w:spacing w:val="-1"/>
          <w:sz w:val="24"/>
          <w:szCs w:val="24"/>
        </w:rPr>
        <w:t xml:space="preserve"> </w:t>
      </w:r>
      <w:r w:rsidRPr="0095783C">
        <w:rPr>
          <w:sz w:val="24"/>
          <w:szCs w:val="24"/>
        </w:rPr>
        <w:t>removed</w:t>
      </w:r>
      <w:r w:rsidRPr="0095783C">
        <w:rPr>
          <w:spacing w:val="-1"/>
          <w:sz w:val="24"/>
          <w:szCs w:val="24"/>
        </w:rPr>
        <w:t xml:space="preserve"> </w:t>
      </w:r>
      <w:r w:rsidRPr="0095783C">
        <w:rPr>
          <w:spacing w:val="-5"/>
          <w:sz w:val="24"/>
          <w:szCs w:val="24"/>
        </w:rPr>
        <w:t>the</w:t>
      </w:r>
    </w:p>
    <w:p w14:paraId="2C1122C5" w14:textId="77777777" w:rsidR="00FB03E9" w:rsidRPr="00DA5884" w:rsidRDefault="00CE5737" w:rsidP="59FD2E7B">
      <w:pPr>
        <w:ind w:left="1440" w:right="1440"/>
        <w:jc w:val="both"/>
        <w:rPr>
          <w:sz w:val="24"/>
          <w:szCs w:val="24"/>
        </w:rPr>
      </w:pPr>
      <w:r w:rsidRPr="00DA5884">
        <w:rPr>
          <w:sz w:val="24"/>
          <w:szCs w:val="24"/>
        </w:rPr>
        <w:t>Needs</w:t>
      </w:r>
      <w:r w:rsidRPr="00DA5884">
        <w:rPr>
          <w:spacing w:val="-3"/>
          <w:sz w:val="24"/>
          <w:szCs w:val="24"/>
        </w:rPr>
        <w:t xml:space="preserve"> </w:t>
      </w:r>
      <w:r w:rsidRPr="00DA5884">
        <w:rPr>
          <w:sz w:val="24"/>
          <w:szCs w:val="24"/>
        </w:rPr>
        <w:t>Improvement</w:t>
      </w:r>
      <w:r w:rsidRPr="00DA5884">
        <w:rPr>
          <w:spacing w:val="-1"/>
          <w:sz w:val="24"/>
          <w:szCs w:val="24"/>
        </w:rPr>
        <w:t xml:space="preserve"> </w:t>
      </w:r>
      <w:r w:rsidRPr="00DA5884">
        <w:rPr>
          <w:spacing w:val="-2"/>
          <w:sz w:val="24"/>
          <w:szCs w:val="24"/>
        </w:rPr>
        <w:t>rating.</w:t>
      </w:r>
    </w:p>
    <w:p w14:paraId="286FB3A3" w14:textId="77777777" w:rsidR="00FB03E9" w:rsidRPr="00DA5884" w:rsidRDefault="00FB03E9" w:rsidP="59FD2E7B">
      <w:pPr>
        <w:pStyle w:val="BodyText"/>
        <w:ind w:left="1440" w:right="1440"/>
      </w:pPr>
    </w:p>
    <w:p w14:paraId="604B4669" w14:textId="77777777" w:rsidR="00FB03E9" w:rsidRPr="0095783C" w:rsidRDefault="00CE5737" w:rsidP="59FD2E7B">
      <w:pPr>
        <w:pStyle w:val="Heading2"/>
        <w:ind w:left="1440" w:right="1440"/>
      </w:pPr>
      <w:r w:rsidRPr="0095783C">
        <w:t xml:space="preserve">QUALITY </w:t>
      </w:r>
      <w:r w:rsidRPr="0095783C">
        <w:rPr>
          <w:spacing w:val="-2"/>
        </w:rPr>
        <w:t>ASSURANCE</w:t>
      </w:r>
    </w:p>
    <w:p w14:paraId="42D90DF3" w14:textId="77777777" w:rsidR="00FB03E9" w:rsidRPr="0095783C" w:rsidRDefault="00CE5737" w:rsidP="59FD2E7B">
      <w:pPr>
        <w:pStyle w:val="BodyText"/>
        <w:ind w:left="1440" w:right="1440"/>
      </w:pPr>
      <w:r w:rsidRPr="0095783C">
        <w:t>Administrators complete extensive training from ISBE prior to rating the performance of educators. The final rating must be determined</w:t>
      </w:r>
      <w:r w:rsidRPr="0095783C">
        <w:rPr>
          <w:spacing w:val="-3"/>
        </w:rPr>
        <w:t xml:space="preserve"> </w:t>
      </w:r>
      <w:r w:rsidRPr="0095783C">
        <w:t>through</w:t>
      </w:r>
      <w:r w:rsidRPr="0095783C">
        <w:rPr>
          <w:spacing w:val="-3"/>
        </w:rPr>
        <w:t xml:space="preserve"> </w:t>
      </w:r>
      <w:r w:rsidRPr="0095783C">
        <w:t>the</w:t>
      </w:r>
      <w:r w:rsidRPr="0095783C">
        <w:rPr>
          <w:spacing w:val="-2"/>
        </w:rPr>
        <w:t xml:space="preserve"> </w:t>
      </w:r>
      <w:r w:rsidRPr="0095783C">
        <w:t>application</w:t>
      </w:r>
      <w:r w:rsidRPr="0095783C">
        <w:rPr>
          <w:spacing w:val="-3"/>
        </w:rPr>
        <w:t xml:space="preserve"> </w:t>
      </w:r>
      <w:r w:rsidRPr="0095783C">
        <w:t>of</w:t>
      </w:r>
      <w:r w:rsidRPr="0095783C">
        <w:rPr>
          <w:spacing w:val="-4"/>
        </w:rPr>
        <w:t xml:space="preserve"> </w:t>
      </w:r>
      <w:r w:rsidRPr="0095783C">
        <w:t>a</w:t>
      </w:r>
      <w:r w:rsidRPr="0095783C">
        <w:rPr>
          <w:spacing w:val="-4"/>
        </w:rPr>
        <w:t xml:space="preserve"> </w:t>
      </w:r>
      <w:r w:rsidRPr="0095783C">
        <w:t>research-based</w:t>
      </w:r>
      <w:r w:rsidRPr="0095783C">
        <w:rPr>
          <w:spacing w:val="-3"/>
        </w:rPr>
        <w:t xml:space="preserve"> </w:t>
      </w:r>
      <w:r w:rsidRPr="0095783C">
        <w:t>instructional</w:t>
      </w:r>
      <w:r w:rsidRPr="0095783C">
        <w:rPr>
          <w:spacing w:val="-3"/>
        </w:rPr>
        <w:t xml:space="preserve"> </w:t>
      </w:r>
      <w:r w:rsidRPr="0095783C">
        <w:t>framework</w:t>
      </w:r>
      <w:r w:rsidRPr="0095783C">
        <w:rPr>
          <w:spacing w:val="-3"/>
        </w:rPr>
        <w:t xml:space="preserve"> </w:t>
      </w:r>
      <w:r w:rsidRPr="0095783C">
        <w:t>that</w:t>
      </w:r>
      <w:r w:rsidRPr="0095783C">
        <w:rPr>
          <w:spacing w:val="-3"/>
        </w:rPr>
        <w:t xml:space="preserve"> </w:t>
      </w:r>
      <w:r w:rsidRPr="0095783C">
        <w:t>includes</w:t>
      </w:r>
      <w:r w:rsidRPr="0095783C">
        <w:rPr>
          <w:spacing w:val="-3"/>
        </w:rPr>
        <w:t xml:space="preserve"> </w:t>
      </w:r>
      <w:r w:rsidRPr="0095783C">
        <w:t>a</w:t>
      </w:r>
      <w:r w:rsidRPr="0095783C">
        <w:rPr>
          <w:spacing w:val="-4"/>
        </w:rPr>
        <w:t xml:space="preserve"> </w:t>
      </w:r>
      <w:r w:rsidRPr="0095783C">
        <w:t>rubric</w:t>
      </w:r>
      <w:r w:rsidRPr="0095783C">
        <w:rPr>
          <w:spacing w:val="-3"/>
        </w:rPr>
        <w:t xml:space="preserve"> </w:t>
      </w:r>
      <w:r w:rsidRPr="0095783C">
        <w:t>to</w:t>
      </w:r>
      <w:r w:rsidRPr="0095783C">
        <w:rPr>
          <w:spacing w:val="-3"/>
        </w:rPr>
        <w:t xml:space="preserve"> </w:t>
      </w:r>
      <w:r w:rsidRPr="0095783C">
        <w:t>rate</w:t>
      </w:r>
      <w:r w:rsidRPr="0095783C">
        <w:rPr>
          <w:spacing w:val="-3"/>
        </w:rPr>
        <w:t xml:space="preserve"> </w:t>
      </w:r>
      <w:r w:rsidRPr="0095783C">
        <w:t>the</w:t>
      </w:r>
      <w:r w:rsidRPr="0095783C">
        <w:rPr>
          <w:spacing w:val="-4"/>
        </w:rPr>
        <w:t xml:space="preserve"> </w:t>
      </w:r>
      <w:r w:rsidRPr="0095783C">
        <w:t xml:space="preserve">professional practice of teachers. The evaluation systems in Illinois school districts will combine multiple measures of student growth and professional practice. The evaluations will be based on standards of effective teaching, with evaluators trained and prequalified to conduct </w:t>
      </w:r>
      <w:r w:rsidRPr="0095783C">
        <w:lastRenderedPageBreak/>
        <w:t>observations, collect evidence, and provide helpful feedback in a timely way. Most public-school districts have adopted Danielson’s Framework for Teaching or Marzano’s Teacher Evaluation Model.</w:t>
      </w:r>
    </w:p>
    <w:p w14:paraId="1BF8FB05" w14:textId="77777777" w:rsidR="00FB03E9" w:rsidRPr="0095783C" w:rsidRDefault="00FB03E9" w:rsidP="59FD2E7B">
      <w:pPr>
        <w:pStyle w:val="BodyText"/>
        <w:ind w:left="1440" w:right="1440"/>
      </w:pPr>
    </w:p>
    <w:p w14:paraId="39C2BD31" w14:textId="77777777" w:rsidR="00FB03E9" w:rsidRPr="0095783C" w:rsidRDefault="00CE5737" w:rsidP="59FD2E7B">
      <w:pPr>
        <w:pStyle w:val="BodyText"/>
        <w:ind w:left="1440" w:right="1440"/>
      </w:pPr>
      <w:r w:rsidRPr="0095783C">
        <w:t>A limitation of this evidence is that only completers who work in an Illinois public P-12 school and claimed their Professional Educator</w:t>
      </w:r>
      <w:r w:rsidRPr="0095783C">
        <w:rPr>
          <w:spacing w:val="-2"/>
        </w:rPr>
        <w:t xml:space="preserve"> </w:t>
      </w:r>
      <w:r w:rsidRPr="0095783C">
        <w:t>License</w:t>
      </w:r>
      <w:r w:rsidRPr="0095783C">
        <w:rPr>
          <w:spacing w:val="-3"/>
        </w:rPr>
        <w:t xml:space="preserve"> </w:t>
      </w:r>
      <w:r w:rsidRPr="0095783C">
        <w:t>in</w:t>
      </w:r>
      <w:r w:rsidRPr="0095783C">
        <w:rPr>
          <w:spacing w:val="-2"/>
        </w:rPr>
        <w:t xml:space="preserve"> </w:t>
      </w:r>
      <w:r w:rsidRPr="0095783C">
        <w:t>the</w:t>
      </w:r>
      <w:r w:rsidRPr="0095783C">
        <w:rPr>
          <w:spacing w:val="-3"/>
        </w:rPr>
        <w:t xml:space="preserve"> </w:t>
      </w:r>
      <w:r w:rsidRPr="0095783C">
        <w:t>year</w:t>
      </w:r>
      <w:r w:rsidRPr="0095783C">
        <w:rPr>
          <w:spacing w:val="-2"/>
        </w:rPr>
        <w:t xml:space="preserve"> </w:t>
      </w:r>
      <w:r w:rsidRPr="0095783C">
        <w:t>represented</w:t>
      </w:r>
      <w:r w:rsidRPr="0095783C">
        <w:rPr>
          <w:spacing w:val="-2"/>
        </w:rPr>
        <w:t xml:space="preserve"> </w:t>
      </w:r>
      <w:r w:rsidRPr="0095783C">
        <w:t>were</w:t>
      </w:r>
      <w:r w:rsidRPr="0095783C">
        <w:rPr>
          <w:spacing w:val="-4"/>
        </w:rPr>
        <w:t xml:space="preserve"> </w:t>
      </w:r>
      <w:r w:rsidRPr="0095783C">
        <w:t>included</w:t>
      </w:r>
      <w:r w:rsidRPr="0095783C">
        <w:rPr>
          <w:spacing w:val="-2"/>
        </w:rPr>
        <w:t xml:space="preserve"> </w:t>
      </w:r>
      <w:r w:rsidRPr="0095783C">
        <w:t>in</w:t>
      </w:r>
      <w:r w:rsidRPr="0095783C">
        <w:rPr>
          <w:spacing w:val="-2"/>
        </w:rPr>
        <w:t xml:space="preserve"> </w:t>
      </w:r>
      <w:r w:rsidRPr="0095783C">
        <w:t>the</w:t>
      </w:r>
      <w:r w:rsidRPr="0095783C">
        <w:rPr>
          <w:spacing w:val="-3"/>
        </w:rPr>
        <w:t xml:space="preserve"> </w:t>
      </w:r>
      <w:r w:rsidRPr="0095783C">
        <w:t>data.</w:t>
      </w:r>
      <w:r w:rsidRPr="0095783C">
        <w:rPr>
          <w:spacing w:val="-1"/>
        </w:rPr>
        <w:t xml:space="preserve"> </w:t>
      </w:r>
      <w:r w:rsidRPr="0095783C">
        <w:t>ISBE</w:t>
      </w:r>
      <w:r w:rsidRPr="0095783C">
        <w:rPr>
          <w:spacing w:val="-2"/>
        </w:rPr>
        <w:t xml:space="preserve"> </w:t>
      </w:r>
      <w:r w:rsidRPr="0095783C">
        <w:t>does</w:t>
      </w:r>
      <w:r w:rsidRPr="0095783C">
        <w:rPr>
          <w:spacing w:val="-2"/>
        </w:rPr>
        <w:t xml:space="preserve"> </w:t>
      </w:r>
      <w:r w:rsidRPr="0095783C">
        <w:t>not</w:t>
      </w:r>
      <w:r w:rsidRPr="0095783C">
        <w:rPr>
          <w:spacing w:val="-2"/>
        </w:rPr>
        <w:t xml:space="preserve"> </w:t>
      </w:r>
      <w:r w:rsidRPr="0095783C">
        <w:t>report</w:t>
      </w:r>
      <w:r w:rsidRPr="0095783C">
        <w:rPr>
          <w:spacing w:val="-2"/>
        </w:rPr>
        <w:t xml:space="preserve"> </w:t>
      </w:r>
      <w:r w:rsidRPr="0095783C">
        <w:t>the</w:t>
      </w:r>
      <w:r w:rsidRPr="0095783C">
        <w:rPr>
          <w:spacing w:val="-2"/>
        </w:rPr>
        <w:t xml:space="preserve"> </w:t>
      </w:r>
      <w:r w:rsidRPr="0095783C">
        <w:t>years</w:t>
      </w:r>
      <w:r w:rsidRPr="0095783C">
        <w:rPr>
          <w:spacing w:val="-2"/>
        </w:rPr>
        <w:t xml:space="preserve"> </w:t>
      </w:r>
      <w:r w:rsidRPr="0095783C">
        <w:t>the</w:t>
      </w:r>
      <w:r w:rsidRPr="0095783C">
        <w:rPr>
          <w:spacing w:val="-3"/>
        </w:rPr>
        <w:t xml:space="preserve"> </w:t>
      </w:r>
      <w:r w:rsidRPr="0095783C">
        <w:t>educators</w:t>
      </w:r>
      <w:r w:rsidRPr="0095783C">
        <w:rPr>
          <w:spacing w:val="-2"/>
        </w:rPr>
        <w:t xml:space="preserve"> </w:t>
      </w:r>
      <w:r w:rsidRPr="0095783C">
        <w:t>graduated</w:t>
      </w:r>
      <w:r w:rsidRPr="0095783C">
        <w:rPr>
          <w:spacing w:val="-2"/>
        </w:rPr>
        <w:t xml:space="preserve"> </w:t>
      </w:r>
      <w:r w:rsidRPr="0095783C">
        <w:t>from</w:t>
      </w:r>
      <w:r w:rsidRPr="0095783C">
        <w:rPr>
          <w:spacing w:val="-2"/>
        </w:rPr>
        <w:t xml:space="preserve"> </w:t>
      </w:r>
      <w:r w:rsidRPr="0095783C">
        <w:t>their programs. So, the percentage of completers each year cannot be represented in the data, and the results cannot be triangulated with other key assessments (e.g., edTPA scores, content test scores, etc.).</w:t>
      </w:r>
    </w:p>
    <w:p w14:paraId="7EE0DA7D" w14:textId="77777777" w:rsidR="00FB03E9" w:rsidRPr="0095783C" w:rsidRDefault="00FB03E9" w:rsidP="59FD2E7B">
      <w:pPr>
        <w:pStyle w:val="BodyText"/>
        <w:spacing w:before="1"/>
        <w:ind w:left="1440" w:right="1440"/>
      </w:pPr>
    </w:p>
    <w:p w14:paraId="132AD783" w14:textId="77777777" w:rsidR="00FB03E9" w:rsidRPr="0095783C" w:rsidRDefault="00CE5737" w:rsidP="59FD2E7B">
      <w:pPr>
        <w:pStyle w:val="Heading2"/>
        <w:ind w:left="1440" w:right="1440"/>
      </w:pPr>
      <w:r w:rsidRPr="0095783C">
        <w:t>SUPPORT</w:t>
      </w:r>
      <w:r w:rsidRPr="0095783C">
        <w:rPr>
          <w:spacing w:val="-1"/>
        </w:rPr>
        <w:t xml:space="preserve"> </w:t>
      </w:r>
      <w:r w:rsidRPr="0095783C">
        <w:t xml:space="preserve">FOR </w:t>
      </w:r>
      <w:r w:rsidRPr="0095783C">
        <w:rPr>
          <w:spacing w:val="-2"/>
        </w:rPr>
        <w:t>IMPROVEMENT</w:t>
      </w:r>
    </w:p>
    <w:p w14:paraId="3B8783C4" w14:textId="45793657" w:rsidR="00C673FC" w:rsidRDefault="00CE5737" w:rsidP="00C673FC">
      <w:pPr>
        <w:pStyle w:val="BodyText"/>
        <w:ind w:left="1440" w:right="1440"/>
      </w:pPr>
      <w:r w:rsidRPr="0095783C">
        <w:t>Since</w:t>
      </w:r>
      <w:r w:rsidRPr="0095783C">
        <w:rPr>
          <w:spacing w:val="-5"/>
        </w:rPr>
        <w:t xml:space="preserve"> </w:t>
      </w:r>
      <w:r w:rsidRPr="0095783C">
        <w:t>ISBE</w:t>
      </w:r>
      <w:r w:rsidRPr="0095783C">
        <w:rPr>
          <w:spacing w:val="-3"/>
        </w:rPr>
        <w:t xml:space="preserve"> </w:t>
      </w:r>
      <w:r w:rsidRPr="0095783C">
        <w:t>provides</w:t>
      </w:r>
      <w:r w:rsidRPr="0095783C">
        <w:rPr>
          <w:spacing w:val="-3"/>
        </w:rPr>
        <w:t xml:space="preserve"> </w:t>
      </w:r>
      <w:r w:rsidRPr="0095783C">
        <w:t>performance</w:t>
      </w:r>
      <w:r w:rsidRPr="0095783C">
        <w:rPr>
          <w:spacing w:val="-4"/>
        </w:rPr>
        <w:t xml:space="preserve"> </w:t>
      </w:r>
      <w:r w:rsidRPr="0095783C">
        <w:t>data</w:t>
      </w:r>
      <w:r w:rsidRPr="0095783C">
        <w:rPr>
          <w:spacing w:val="-3"/>
        </w:rPr>
        <w:t xml:space="preserve"> </w:t>
      </w:r>
      <w:r w:rsidRPr="0095783C">
        <w:t>by</w:t>
      </w:r>
      <w:r w:rsidRPr="0095783C">
        <w:rPr>
          <w:spacing w:val="-3"/>
        </w:rPr>
        <w:t xml:space="preserve"> </w:t>
      </w:r>
      <w:r w:rsidRPr="0095783C">
        <w:t>endorsement</w:t>
      </w:r>
      <w:r w:rsidRPr="0095783C">
        <w:rPr>
          <w:spacing w:val="-3"/>
        </w:rPr>
        <w:t xml:space="preserve"> </w:t>
      </w:r>
      <w:r w:rsidRPr="0095783C">
        <w:t>areas,</w:t>
      </w:r>
      <w:r w:rsidRPr="0095783C">
        <w:rPr>
          <w:spacing w:val="-3"/>
        </w:rPr>
        <w:t xml:space="preserve"> </w:t>
      </w:r>
      <w:r w:rsidRPr="0095783C">
        <w:t>the</w:t>
      </w:r>
      <w:r w:rsidRPr="0095783C">
        <w:rPr>
          <w:spacing w:val="-2"/>
        </w:rPr>
        <w:t xml:space="preserve"> </w:t>
      </w:r>
      <w:r w:rsidRPr="0095783C">
        <w:t>Program</w:t>
      </w:r>
      <w:r w:rsidRPr="0095783C">
        <w:rPr>
          <w:spacing w:val="-1"/>
        </w:rPr>
        <w:t xml:space="preserve"> </w:t>
      </w:r>
      <w:r w:rsidRPr="0095783C">
        <w:t>Improvement</w:t>
      </w:r>
      <w:r w:rsidRPr="0095783C">
        <w:rPr>
          <w:spacing w:val="-3"/>
        </w:rPr>
        <w:t xml:space="preserve"> </w:t>
      </w:r>
      <w:r w:rsidRPr="0095783C">
        <w:t>and</w:t>
      </w:r>
      <w:r w:rsidRPr="0095783C">
        <w:rPr>
          <w:spacing w:val="-3"/>
        </w:rPr>
        <w:t xml:space="preserve"> </w:t>
      </w:r>
      <w:r w:rsidRPr="0095783C">
        <w:t>Assessment</w:t>
      </w:r>
      <w:r w:rsidRPr="0095783C">
        <w:rPr>
          <w:spacing w:val="-3"/>
        </w:rPr>
        <w:t xml:space="preserve"> </w:t>
      </w:r>
      <w:r w:rsidRPr="0095783C">
        <w:t>Committee</w:t>
      </w:r>
      <w:r w:rsidRPr="0095783C">
        <w:rPr>
          <w:spacing w:val="-5"/>
        </w:rPr>
        <w:t xml:space="preserve"> </w:t>
      </w:r>
      <w:r w:rsidRPr="0095783C">
        <w:t>(PIAC)</w:t>
      </w:r>
      <w:r w:rsidRPr="0095783C">
        <w:rPr>
          <w:spacing w:val="-2"/>
        </w:rPr>
        <w:t xml:space="preserve"> </w:t>
      </w:r>
      <w:r w:rsidRPr="0095783C">
        <w:t xml:space="preserve">can monitor program trends and consider changes for future </w:t>
      </w:r>
      <w:r w:rsidR="00C673FC">
        <w:t>programming</w:t>
      </w:r>
    </w:p>
    <w:p w14:paraId="1BEADEFD" w14:textId="77777777" w:rsidR="00C673FC" w:rsidRDefault="00C673FC" w:rsidP="00C673FC">
      <w:pPr>
        <w:pStyle w:val="BodyText"/>
        <w:ind w:left="1440" w:right="1440"/>
      </w:pPr>
    </w:p>
    <w:p w14:paraId="5205B767" w14:textId="1274C810" w:rsidR="00FB03E9" w:rsidRPr="0095783C" w:rsidRDefault="00CE5737" w:rsidP="007A1046">
      <w:pPr>
        <w:pStyle w:val="Heading2"/>
        <w:ind w:left="1440" w:right="1440"/>
      </w:pPr>
      <w:r w:rsidRPr="0095783C">
        <w:t>RESULTS</w:t>
      </w:r>
      <w:r w:rsidRPr="007A1046">
        <w:t xml:space="preserve"> </w:t>
      </w:r>
      <w:r w:rsidRPr="0095783C">
        <w:t>and</w:t>
      </w:r>
      <w:r w:rsidRPr="007A1046">
        <w:t xml:space="preserve"> ANALYSIS</w:t>
      </w:r>
    </w:p>
    <w:p w14:paraId="6F04F5BB" w14:textId="7F788867" w:rsidR="00FB03E9" w:rsidRPr="0095783C" w:rsidRDefault="00CE5737" w:rsidP="007A1046">
      <w:pPr>
        <w:pStyle w:val="BodyText"/>
        <w:spacing w:before="80"/>
        <w:ind w:left="1440" w:right="1440"/>
      </w:pPr>
      <w:r w:rsidRPr="0095783C">
        <w:t>The Illinois State Board of Education provides data through the Illinois Educator Preparation Profile (IEPP) system on our Candidates’</w:t>
      </w:r>
      <w:r w:rsidRPr="0095783C">
        <w:rPr>
          <w:spacing w:val="-3"/>
        </w:rPr>
        <w:t xml:space="preserve"> </w:t>
      </w:r>
      <w:r w:rsidRPr="0095783C">
        <w:t>demonstration</w:t>
      </w:r>
      <w:r w:rsidRPr="0095783C">
        <w:rPr>
          <w:spacing w:val="-3"/>
        </w:rPr>
        <w:t xml:space="preserve"> </w:t>
      </w:r>
      <w:r w:rsidRPr="0095783C">
        <w:t>of</w:t>
      </w:r>
      <w:r w:rsidRPr="0095783C">
        <w:rPr>
          <w:spacing w:val="-4"/>
        </w:rPr>
        <w:t xml:space="preserve"> </w:t>
      </w:r>
      <w:r w:rsidRPr="0095783C">
        <w:t>teaching</w:t>
      </w:r>
      <w:r w:rsidRPr="0095783C">
        <w:rPr>
          <w:spacing w:val="-3"/>
        </w:rPr>
        <w:t xml:space="preserve"> </w:t>
      </w:r>
      <w:r w:rsidRPr="0095783C">
        <w:t>skills.</w:t>
      </w:r>
      <w:r w:rsidRPr="0095783C">
        <w:rPr>
          <w:spacing w:val="-3"/>
        </w:rPr>
        <w:t xml:space="preserve"> </w:t>
      </w:r>
      <w:r w:rsidRPr="0095783C">
        <w:t>The</w:t>
      </w:r>
      <w:r w:rsidRPr="0095783C">
        <w:rPr>
          <w:spacing w:val="-2"/>
        </w:rPr>
        <w:t xml:space="preserve"> </w:t>
      </w:r>
      <w:r w:rsidRPr="0095783C">
        <w:t>EPP</w:t>
      </w:r>
      <w:r w:rsidRPr="0095783C">
        <w:rPr>
          <w:spacing w:val="-3"/>
        </w:rPr>
        <w:t xml:space="preserve"> </w:t>
      </w:r>
      <w:r w:rsidRPr="0095783C">
        <w:t>is</w:t>
      </w:r>
      <w:r w:rsidRPr="0095783C">
        <w:rPr>
          <w:spacing w:val="-3"/>
        </w:rPr>
        <w:t xml:space="preserve"> </w:t>
      </w:r>
      <w:r w:rsidRPr="0095783C">
        <w:t>designed</w:t>
      </w:r>
      <w:r w:rsidRPr="0095783C">
        <w:rPr>
          <w:spacing w:val="-3"/>
        </w:rPr>
        <w:t xml:space="preserve"> </w:t>
      </w:r>
      <w:r w:rsidRPr="0095783C">
        <w:t>to</w:t>
      </w:r>
      <w:r w:rsidRPr="0095783C">
        <w:rPr>
          <w:spacing w:val="-3"/>
        </w:rPr>
        <w:t xml:space="preserve"> </w:t>
      </w:r>
      <w:r w:rsidRPr="0095783C">
        <w:t>provide</w:t>
      </w:r>
      <w:r w:rsidRPr="0095783C">
        <w:rPr>
          <w:spacing w:val="-4"/>
        </w:rPr>
        <w:t xml:space="preserve"> </w:t>
      </w:r>
      <w:r w:rsidRPr="0095783C">
        <w:t>transparency</w:t>
      </w:r>
      <w:r w:rsidRPr="0095783C">
        <w:rPr>
          <w:spacing w:val="-3"/>
        </w:rPr>
        <w:t xml:space="preserve"> </w:t>
      </w:r>
      <w:r w:rsidRPr="0095783C">
        <w:t>in</w:t>
      </w:r>
      <w:r w:rsidRPr="0095783C">
        <w:rPr>
          <w:spacing w:val="-3"/>
        </w:rPr>
        <w:t xml:space="preserve"> </w:t>
      </w:r>
      <w:r w:rsidRPr="0095783C">
        <w:t>the</w:t>
      </w:r>
      <w:r w:rsidRPr="0095783C">
        <w:rPr>
          <w:spacing w:val="-4"/>
        </w:rPr>
        <w:t xml:space="preserve"> </w:t>
      </w:r>
      <w:r w:rsidRPr="0095783C">
        <w:t>quality</w:t>
      </w:r>
      <w:r w:rsidRPr="0095783C">
        <w:rPr>
          <w:spacing w:val="-3"/>
        </w:rPr>
        <w:t xml:space="preserve"> </w:t>
      </w:r>
      <w:r w:rsidRPr="0095783C">
        <w:t>of</w:t>
      </w:r>
      <w:r w:rsidRPr="0095783C">
        <w:rPr>
          <w:spacing w:val="-3"/>
        </w:rPr>
        <w:t xml:space="preserve"> </w:t>
      </w:r>
      <w:r w:rsidRPr="0095783C">
        <w:t>teacher</w:t>
      </w:r>
      <w:r w:rsidRPr="0095783C">
        <w:rPr>
          <w:spacing w:val="-3"/>
        </w:rPr>
        <w:t xml:space="preserve"> </w:t>
      </w:r>
      <w:r w:rsidRPr="0095783C">
        <w:t>preparation</w:t>
      </w:r>
      <w:r w:rsidR="007A1046">
        <w:t xml:space="preserve"> </w:t>
      </w:r>
      <w:r w:rsidRPr="0095783C">
        <w:t xml:space="preserve">throughout the state. The IEPP uses program data from the five previous years. One measure is program </w:t>
      </w:r>
      <w:proofErr w:type="gramStart"/>
      <w:r w:rsidR="008E21C4" w:rsidRPr="0095783C">
        <w:t>completers</w:t>
      </w:r>
      <w:r w:rsidR="008F2319" w:rsidRPr="0095783C">
        <w:t>’</w:t>
      </w:r>
      <w:proofErr w:type="gramEnd"/>
      <w:r w:rsidR="008F2319" w:rsidRPr="0095783C">
        <w:t xml:space="preserve"> </w:t>
      </w:r>
      <w:r w:rsidRPr="0095783C">
        <w:t>demonstrated teaching</w:t>
      </w:r>
      <w:r w:rsidRPr="0095783C">
        <w:rPr>
          <w:spacing w:val="-3"/>
        </w:rPr>
        <w:t xml:space="preserve"> </w:t>
      </w:r>
      <w:r w:rsidRPr="0095783C">
        <w:t>skill</w:t>
      </w:r>
      <w:r w:rsidRPr="0095783C">
        <w:rPr>
          <w:spacing w:val="-3"/>
        </w:rPr>
        <w:t xml:space="preserve"> </w:t>
      </w:r>
      <w:r w:rsidRPr="0095783C">
        <w:t>as</w:t>
      </w:r>
      <w:r w:rsidRPr="0095783C">
        <w:rPr>
          <w:spacing w:val="-3"/>
        </w:rPr>
        <w:t xml:space="preserve"> </w:t>
      </w:r>
      <w:r w:rsidRPr="0095783C">
        <w:t>measured</w:t>
      </w:r>
      <w:r w:rsidRPr="0095783C">
        <w:rPr>
          <w:spacing w:val="-2"/>
        </w:rPr>
        <w:t xml:space="preserve"> </w:t>
      </w:r>
      <w:r w:rsidRPr="0095783C">
        <w:t>through</w:t>
      </w:r>
      <w:r w:rsidRPr="0095783C">
        <w:rPr>
          <w:spacing w:val="-3"/>
        </w:rPr>
        <w:t xml:space="preserve"> </w:t>
      </w:r>
      <w:r w:rsidRPr="0095783C">
        <w:t>performance</w:t>
      </w:r>
      <w:r w:rsidRPr="0095783C">
        <w:rPr>
          <w:spacing w:val="-1"/>
        </w:rPr>
        <w:t xml:space="preserve"> </w:t>
      </w:r>
      <w:r w:rsidRPr="0095783C">
        <w:t>evaluations.</w:t>
      </w:r>
      <w:r w:rsidRPr="0095783C">
        <w:rPr>
          <w:spacing w:val="-3"/>
        </w:rPr>
        <w:t xml:space="preserve"> </w:t>
      </w:r>
      <w:r w:rsidRPr="0095783C">
        <w:t>Data</w:t>
      </w:r>
      <w:r w:rsidRPr="0095783C">
        <w:rPr>
          <w:spacing w:val="-3"/>
        </w:rPr>
        <w:t xml:space="preserve"> </w:t>
      </w:r>
      <w:r w:rsidRPr="0095783C">
        <w:t>below</w:t>
      </w:r>
      <w:r w:rsidRPr="0095783C">
        <w:rPr>
          <w:spacing w:val="-1"/>
        </w:rPr>
        <w:t xml:space="preserve"> </w:t>
      </w:r>
      <w:r w:rsidRPr="0095783C">
        <w:t>represent</w:t>
      </w:r>
      <w:r w:rsidRPr="0095783C">
        <w:rPr>
          <w:spacing w:val="-3"/>
        </w:rPr>
        <w:t xml:space="preserve"> </w:t>
      </w:r>
      <w:r w:rsidRPr="0095783C">
        <w:t>the</w:t>
      </w:r>
      <w:r w:rsidRPr="0095783C">
        <w:rPr>
          <w:spacing w:val="-3"/>
        </w:rPr>
        <w:t xml:space="preserve"> </w:t>
      </w:r>
      <w:r w:rsidRPr="0095783C">
        <w:t>Percentage</w:t>
      </w:r>
      <w:r w:rsidRPr="0095783C">
        <w:rPr>
          <w:spacing w:val="-4"/>
        </w:rPr>
        <w:t xml:space="preserve"> </w:t>
      </w:r>
      <w:r w:rsidRPr="0095783C">
        <w:t>of</w:t>
      </w:r>
      <w:r w:rsidRPr="0095783C">
        <w:rPr>
          <w:spacing w:val="-1"/>
        </w:rPr>
        <w:t xml:space="preserve"> </w:t>
      </w:r>
      <w:r w:rsidRPr="0095783C">
        <w:t>Completers</w:t>
      </w:r>
      <w:r w:rsidRPr="0095783C">
        <w:rPr>
          <w:spacing w:val="-3"/>
        </w:rPr>
        <w:t xml:space="preserve"> </w:t>
      </w:r>
      <w:r w:rsidRPr="0095783C">
        <w:t>scoring</w:t>
      </w:r>
      <w:r w:rsidRPr="0095783C">
        <w:rPr>
          <w:spacing w:val="-3"/>
        </w:rPr>
        <w:t xml:space="preserve"> </w:t>
      </w:r>
      <w:r w:rsidRPr="0095783C">
        <w:t>at</w:t>
      </w:r>
      <w:r w:rsidRPr="0095783C">
        <w:rPr>
          <w:spacing w:val="-3"/>
        </w:rPr>
        <w:t xml:space="preserve"> </w:t>
      </w:r>
      <w:r w:rsidRPr="0095783C">
        <w:t>benchmark levels of “proficient” or “excellent” on their most recent overall performance evaluation, consisting of observation scores and student growth measures. Completers who do not have a performance evaluation score or who obtained employment out of the state, in an Illinois nonpublic school or outside</w:t>
      </w:r>
      <w:r w:rsidRPr="0095783C">
        <w:rPr>
          <w:spacing w:val="-1"/>
        </w:rPr>
        <w:t xml:space="preserve"> </w:t>
      </w:r>
      <w:r w:rsidRPr="0095783C">
        <w:t>the field of</w:t>
      </w:r>
      <w:r w:rsidRPr="0095783C">
        <w:rPr>
          <w:spacing w:val="-1"/>
        </w:rPr>
        <w:t xml:space="preserve"> </w:t>
      </w:r>
      <w:r w:rsidRPr="0095783C">
        <w:t>education are</w:t>
      </w:r>
      <w:r w:rsidRPr="0095783C">
        <w:rPr>
          <w:spacing w:val="-2"/>
        </w:rPr>
        <w:t xml:space="preserve"> </w:t>
      </w:r>
      <w:r w:rsidRPr="0095783C">
        <w:t>not included in these</w:t>
      </w:r>
      <w:r w:rsidRPr="0095783C">
        <w:rPr>
          <w:spacing w:val="-1"/>
        </w:rPr>
        <w:t xml:space="preserve"> </w:t>
      </w:r>
      <w:r w:rsidRPr="0095783C">
        <w:t>data. ISBE does not provide data on programs with fewer than ten evaluations, and we identify them below as No Data Collected.</w:t>
      </w:r>
    </w:p>
    <w:p w14:paraId="2C53FF6B" w14:textId="77777777" w:rsidR="00FB03E9" w:rsidRPr="0095783C" w:rsidRDefault="00FB03E9" w:rsidP="59FD2E7B">
      <w:pPr>
        <w:pStyle w:val="BodyText"/>
        <w:ind w:left="1440" w:right="1440"/>
      </w:pPr>
    </w:p>
    <w:p w14:paraId="2D7A88B5" w14:textId="3B2BACC3" w:rsidR="00FB03E9" w:rsidRPr="0095783C" w:rsidRDefault="00CE5737" w:rsidP="59FD2E7B">
      <w:pPr>
        <w:pStyle w:val="BodyText"/>
        <w:ind w:left="1440" w:right="1440"/>
      </w:pPr>
      <w:r w:rsidRPr="0095783C">
        <w:t>This</w:t>
      </w:r>
      <w:r w:rsidRPr="0095783C">
        <w:rPr>
          <w:spacing w:val="-2"/>
        </w:rPr>
        <w:t xml:space="preserve"> </w:t>
      </w:r>
      <w:r w:rsidRPr="0095783C">
        <w:t>data</w:t>
      </w:r>
      <w:r w:rsidRPr="0095783C">
        <w:rPr>
          <w:spacing w:val="-2"/>
        </w:rPr>
        <w:t xml:space="preserve"> </w:t>
      </w:r>
      <w:r w:rsidRPr="0095783C">
        <w:t>provides compelling</w:t>
      </w:r>
      <w:r w:rsidRPr="0095783C">
        <w:rPr>
          <w:spacing w:val="-1"/>
        </w:rPr>
        <w:t xml:space="preserve"> </w:t>
      </w:r>
      <w:r w:rsidRPr="0095783C">
        <w:t>evidence</w:t>
      </w:r>
      <w:r w:rsidRPr="0095783C">
        <w:rPr>
          <w:spacing w:val="-1"/>
        </w:rPr>
        <w:t xml:space="preserve"> </w:t>
      </w:r>
      <w:r w:rsidRPr="0095783C">
        <w:t>that our</w:t>
      </w:r>
      <w:r w:rsidRPr="0095783C">
        <w:rPr>
          <w:spacing w:val="-2"/>
        </w:rPr>
        <w:t xml:space="preserve"> </w:t>
      </w:r>
      <w:proofErr w:type="gramStart"/>
      <w:r w:rsidRPr="0095783C">
        <w:t>program</w:t>
      </w:r>
      <w:proofErr w:type="gramEnd"/>
      <w:r w:rsidRPr="0095783C">
        <w:rPr>
          <w:spacing w:val="-1"/>
        </w:rPr>
        <w:t xml:space="preserve"> </w:t>
      </w:r>
      <w:proofErr w:type="gramStart"/>
      <w:r w:rsidRPr="0095783C">
        <w:t>completers perform</w:t>
      </w:r>
      <w:proofErr w:type="gramEnd"/>
      <w:r w:rsidRPr="0095783C">
        <w:rPr>
          <w:spacing w:val="-1"/>
        </w:rPr>
        <w:t xml:space="preserve"> </w:t>
      </w:r>
      <w:r w:rsidRPr="0095783C">
        <w:t>well</w:t>
      </w:r>
      <w:r w:rsidRPr="0095783C">
        <w:rPr>
          <w:spacing w:val="-1"/>
        </w:rPr>
        <w:t xml:space="preserve"> </w:t>
      </w:r>
      <w:r w:rsidRPr="0095783C">
        <w:t>in their</w:t>
      </w:r>
      <w:r w:rsidRPr="0095783C">
        <w:rPr>
          <w:spacing w:val="-1"/>
        </w:rPr>
        <w:t xml:space="preserve"> </w:t>
      </w:r>
      <w:r w:rsidRPr="0095783C">
        <w:t xml:space="preserve">own </w:t>
      </w:r>
      <w:r w:rsidRPr="0095783C">
        <w:rPr>
          <w:spacing w:val="-2"/>
        </w:rPr>
        <w:t>classrooms</w:t>
      </w:r>
      <w:r w:rsidR="001C0C10" w:rsidRPr="0095783C">
        <w:rPr>
          <w:spacing w:val="-2"/>
        </w:rPr>
        <w:t>.</w:t>
      </w:r>
    </w:p>
    <w:p w14:paraId="3D9E2F30" w14:textId="77777777" w:rsidR="001C0C10" w:rsidRPr="0095783C" w:rsidRDefault="001C0C10" w:rsidP="59FD2E7B">
      <w:pPr>
        <w:pStyle w:val="BodyText"/>
        <w:ind w:left="1440" w:right="1440"/>
      </w:pPr>
    </w:p>
    <w:p w14:paraId="20E37DD5" w14:textId="137D268A" w:rsidR="00F92C0F" w:rsidRPr="0095783C" w:rsidRDefault="00C934C1">
      <w:pPr>
        <w:pStyle w:val="BodyText"/>
        <w:ind w:left="360"/>
        <w:rPr>
          <w:spacing w:val="-2"/>
        </w:rPr>
      </w:pPr>
      <w:r w:rsidRPr="0095783C">
        <w:rPr>
          <w:noProof/>
          <w:spacing w:val="-2"/>
        </w:rPr>
        <w:lastRenderedPageBreak/>
        <w:drawing>
          <wp:inline distT="0" distB="0" distL="0" distR="0" wp14:anchorId="433C3813" wp14:editId="6785C1EE">
            <wp:extent cx="8077200" cy="3829050"/>
            <wp:effectExtent l="0" t="0" r="0" b="0"/>
            <wp:docPr id="459584824" name="Chart 47" descr="This graph displays the performance rating for teacher candidates out in the field after graduation by pro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220F36" w14:textId="344FA94A" w:rsidR="00F92C0F" w:rsidRPr="0095783C" w:rsidRDefault="00F92C0F">
      <w:pPr>
        <w:pStyle w:val="BodyText"/>
        <w:ind w:left="360"/>
        <w:rPr>
          <w:spacing w:val="-2"/>
        </w:rPr>
      </w:pPr>
    </w:p>
    <w:p w14:paraId="2685E2A6" w14:textId="77777777" w:rsidR="00F92C0F" w:rsidRPr="0095783C" w:rsidRDefault="00F92C0F">
      <w:pPr>
        <w:pStyle w:val="BodyText"/>
        <w:ind w:left="360"/>
      </w:pPr>
    </w:p>
    <w:tbl>
      <w:tblPr>
        <w:tblW w:w="8480" w:type="dxa"/>
        <w:jc w:val="center"/>
        <w:tblLook w:val="04A0" w:firstRow="1" w:lastRow="0" w:firstColumn="1" w:lastColumn="0" w:noHBand="0" w:noVBand="1"/>
      </w:tblPr>
      <w:tblGrid>
        <w:gridCol w:w="3280"/>
        <w:gridCol w:w="1700"/>
        <w:gridCol w:w="1780"/>
        <w:gridCol w:w="1720"/>
      </w:tblGrid>
      <w:tr w:rsidR="006405B6" w:rsidRPr="006405B6" w14:paraId="3D54D061" w14:textId="77777777" w:rsidTr="59FD2E7B">
        <w:trPr>
          <w:trHeight w:val="300"/>
          <w:jc w:val="center"/>
        </w:trPr>
        <w:tc>
          <w:tcPr>
            <w:tcW w:w="3280" w:type="dxa"/>
            <w:tcBorders>
              <w:top w:val="nil"/>
              <w:left w:val="single" w:sz="4" w:space="0" w:color="000000" w:themeColor="text1"/>
              <w:bottom w:val="single" w:sz="4" w:space="0" w:color="000000" w:themeColor="text1"/>
              <w:right w:val="nil"/>
            </w:tcBorders>
            <w:shd w:val="clear" w:color="auto" w:fill="943634" w:themeFill="accent2" w:themeFillShade="BF"/>
            <w:noWrap/>
            <w:vAlign w:val="bottom"/>
            <w:hideMark/>
          </w:tcPr>
          <w:p w14:paraId="7C276D6B" w14:textId="4BA34813" w:rsidR="009C7F5E" w:rsidRPr="006405B6" w:rsidRDefault="0A472660" w:rsidP="59FD2E7B">
            <w:pPr>
              <w:widowControl/>
              <w:autoSpaceDE/>
              <w:autoSpaceDN/>
              <w:rPr>
                <w:b/>
                <w:bCs/>
                <w:color w:val="FFFFFF" w:themeColor="background1"/>
                <w:u w:val="single"/>
              </w:rPr>
            </w:pPr>
            <w:r w:rsidRPr="006405B6">
              <w:rPr>
                <w:b/>
                <w:bCs/>
                <w:color w:val="FFFFFF" w:themeColor="background1"/>
                <w:u w:val="single"/>
              </w:rPr>
              <w:t>Program</w:t>
            </w:r>
          </w:p>
        </w:tc>
        <w:tc>
          <w:tcPr>
            <w:tcW w:w="1700" w:type="dxa"/>
            <w:tcBorders>
              <w:top w:val="single" w:sz="4" w:space="0" w:color="000000" w:themeColor="text1"/>
              <w:left w:val="single" w:sz="4" w:space="0" w:color="000000" w:themeColor="text1"/>
              <w:bottom w:val="single" w:sz="4" w:space="0" w:color="000000" w:themeColor="text1"/>
              <w:right w:val="nil"/>
            </w:tcBorders>
            <w:shd w:val="clear" w:color="auto" w:fill="943634" w:themeFill="accent2" w:themeFillShade="BF"/>
            <w:noWrap/>
            <w:vAlign w:val="bottom"/>
            <w:hideMark/>
          </w:tcPr>
          <w:p w14:paraId="0F9DA539" w14:textId="326E75F2" w:rsidR="009C7F5E" w:rsidRPr="006405B6" w:rsidRDefault="0A472660" w:rsidP="59FD2E7B">
            <w:pPr>
              <w:widowControl/>
              <w:autoSpaceDE/>
              <w:autoSpaceDN/>
              <w:jc w:val="center"/>
              <w:rPr>
                <w:b/>
                <w:bCs/>
                <w:color w:val="FFFFFF" w:themeColor="background1"/>
              </w:rPr>
            </w:pPr>
            <w:r w:rsidRPr="006405B6">
              <w:rPr>
                <w:b/>
                <w:bCs/>
                <w:color w:val="FFFFFF" w:themeColor="background1"/>
                <w:u w:val="single"/>
              </w:rPr>
              <w:t>2018-2022</w:t>
            </w:r>
          </w:p>
        </w:tc>
        <w:tc>
          <w:tcPr>
            <w:tcW w:w="1780" w:type="dxa"/>
            <w:tcBorders>
              <w:top w:val="single" w:sz="4" w:space="0" w:color="000000" w:themeColor="text1"/>
              <w:left w:val="single" w:sz="4" w:space="0" w:color="000000" w:themeColor="text1"/>
              <w:bottom w:val="single" w:sz="4" w:space="0" w:color="000000" w:themeColor="text1"/>
              <w:right w:val="nil"/>
            </w:tcBorders>
            <w:shd w:val="clear" w:color="auto" w:fill="943634" w:themeFill="accent2" w:themeFillShade="BF"/>
            <w:noWrap/>
            <w:vAlign w:val="bottom"/>
            <w:hideMark/>
          </w:tcPr>
          <w:p w14:paraId="2DD83F38" w14:textId="52AF84D4" w:rsidR="009C7F5E" w:rsidRPr="006405B6" w:rsidRDefault="0A472660" w:rsidP="59FD2E7B">
            <w:pPr>
              <w:widowControl/>
              <w:autoSpaceDE/>
              <w:autoSpaceDN/>
              <w:jc w:val="center"/>
              <w:rPr>
                <w:b/>
                <w:bCs/>
                <w:color w:val="FFFFFF" w:themeColor="background1"/>
              </w:rPr>
            </w:pPr>
            <w:r w:rsidRPr="006405B6">
              <w:rPr>
                <w:b/>
                <w:bCs/>
                <w:color w:val="FFFFFF" w:themeColor="background1"/>
                <w:u w:val="single"/>
              </w:rPr>
              <w:t>2019-2023</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43634" w:themeFill="accent2" w:themeFillShade="BF"/>
            <w:noWrap/>
            <w:vAlign w:val="bottom"/>
            <w:hideMark/>
          </w:tcPr>
          <w:p w14:paraId="5BFE1412" w14:textId="32879088" w:rsidR="009C7F5E" w:rsidRPr="006405B6" w:rsidRDefault="0A472660" w:rsidP="59FD2E7B">
            <w:pPr>
              <w:widowControl/>
              <w:autoSpaceDE/>
              <w:autoSpaceDN/>
              <w:jc w:val="center"/>
              <w:rPr>
                <w:b/>
                <w:bCs/>
                <w:color w:val="FFFFFF" w:themeColor="background1"/>
              </w:rPr>
            </w:pPr>
            <w:r w:rsidRPr="006405B6">
              <w:rPr>
                <w:b/>
                <w:bCs/>
                <w:color w:val="FFFFFF" w:themeColor="background1"/>
                <w:u w:val="single"/>
              </w:rPr>
              <w:t>2020-2024</w:t>
            </w:r>
          </w:p>
        </w:tc>
      </w:tr>
      <w:tr w:rsidR="0095783C" w:rsidRPr="0095783C" w14:paraId="1F1F6492" w14:textId="77777777" w:rsidTr="59FD2E7B">
        <w:trPr>
          <w:trHeight w:val="300"/>
          <w:jc w:val="center"/>
        </w:trPr>
        <w:tc>
          <w:tcPr>
            <w:tcW w:w="3280" w:type="dxa"/>
            <w:tcBorders>
              <w:top w:val="nil"/>
              <w:left w:val="single" w:sz="4" w:space="0" w:color="000000" w:themeColor="text1"/>
              <w:bottom w:val="nil"/>
              <w:right w:val="nil"/>
            </w:tcBorders>
            <w:noWrap/>
            <w:vAlign w:val="bottom"/>
            <w:hideMark/>
          </w:tcPr>
          <w:p w14:paraId="79CAEAE8" w14:textId="77777777" w:rsidR="009C7F5E" w:rsidRPr="0095783C" w:rsidRDefault="0A472660" w:rsidP="59FD2E7B">
            <w:pPr>
              <w:widowControl/>
              <w:autoSpaceDE/>
              <w:autoSpaceDN/>
            </w:pPr>
            <w:r w:rsidRPr="0095783C">
              <w:t xml:space="preserve">Agricultural Education </w:t>
            </w:r>
          </w:p>
        </w:tc>
        <w:tc>
          <w:tcPr>
            <w:tcW w:w="1700" w:type="dxa"/>
            <w:tcBorders>
              <w:top w:val="nil"/>
              <w:left w:val="single" w:sz="4" w:space="0" w:color="000000" w:themeColor="text1"/>
              <w:bottom w:val="single" w:sz="4" w:space="0" w:color="000000" w:themeColor="text1"/>
              <w:right w:val="nil"/>
            </w:tcBorders>
            <w:noWrap/>
            <w:vAlign w:val="bottom"/>
            <w:hideMark/>
          </w:tcPr>
          <w:p w14:paraId="78A2C608" w14:textId="77777777" w:rsidR="009C7F5E" w:rsidRPr="0095783C" w:rsidRDefault="0A472660" w:rsidP="59FD2E7B">
            <w:pPr>
              <w:widowControl/>
              <w:autoSpaceDE/>
              <w:autoSpaceDN/>
              <w:jc w:val="center"/>
            </w:pPr>
            <w:r w:rsidRPr="0095783C">
              <w:t>100</w:t>
            </w:r>
          </w:p>
        </w:tc>
        <w:tc>
          <w:tcPr>
            <w:tcW w:w="1780" w:type="dxa"/>
            <w:tcBorders>
              <w:top w:val="nil"/>
              <w:left w:val="single" w:sz="4" w:space="0" w:color="000000" w:themeColor="text1"/>
              <w:bottom w:val="nil"/>
              <w:right w:val="single" w:sz="4" w:space="0" w:color="000000" w:themeColor="text1"/>
            </w:tcBorders>
            <w:noWrap/>
            <w:vAlign w:val="bottom"/>
            <w:hideMark/>
          </w:tcPr>
          <w:p w14:paraId="17941593" w14:textId="77777777" w:rsidR="009C7F5E" w:rsidRPr="0095783C" w:rsidRDefault="0A472660" w:rsidP="59FD2E7B">
            <w:pPr>
              <w:widowControl/>
              <w:autoSpaceDE/>
              <w:autoSpaceDN/>
              <w:jc w:val="center"/>
            </w:pPr>
            <w:r w:rsidRPr="0095783C">
              <w:t>100</w:t>
            </w:r>
          </w:p>
        </w:tc>
        <w:tc>
          <w:tcPr>
            <w:tcW w:w="1720" w:type="dxa"/>
            <w:tcBorders>
              <w:top w:val="nil"/>
              <w:left w:val="nil"/>
              <w:bottom w:val="nil"/>
              <w:right w:val="single" w:sz="4" w:space="0" w:color="000000" w:themeColor="text1"/>
            </w:tcBorders>
            <w:noWrap/>
            <w:vAlign w:val="bottom"/>
            <w:hideMark/>
          </w:tcPr>
          <w:p w14:paraId="270C54D6" w14:textId="77777777" w:rsidR="009C7F5E" w:rsidRPr="0095783C" w:rsidRDefault="0A472660" w:rsidP="59FD2E7B">
            <w:pPr>
              <w:widowControl/>
              <w:autoSpaceDE/>
              <w:autoSpaceDN/>
              <w:jc w:val="center"/>
            </w:pPr>
            <w:r w:rsidRPr="0095783C">
              <w:t>95</w:t>
            </w:r>
          </w:p>
        </w:tc>
      </w:tr>
      <w:tr w:rsidR="0095783C" w:rsidRPr="0095783C" w14:paraId="5CF542B3"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1261EBD1" w14:textId="77777777" w:rsidR="009C7F5E" w:rsidRPr="0095783C" w:rsidRDefault="0A472660" w:rsidP="59FD2E7B">
            <w:pPr>
              <w:widowControl/>
              <w:autoSpaceDE/>
              <w:autoSpaceDN/>
            </w:pPr>
            <w:r w:rsidRPr="0095783C">
              <w:t xml:space="preserve">Early Childhood Education </w:t>
            </w:r>
          </w:p>
        </w:tc>
        <w:tc>
          <w:tcPr>
            <w:tcW w:w="1700" w:type="dxa"/>
            <w:tcBorders>
              <w:top w:val="nil"/>
              <w:left w:val="single" w:sz="4" w:space="0" w:color="000000" w:themeColor="text1"/>
              <w:bottom w:val="nil"/>
              <w:right w:val="nil"/>
            </w:tcBorders>
            <w:noWrap/>
            <w:vAlign w:val="bottom"/>
            <w:hideMark/>
          </w:tcPr>
          <w:p w14:paraId="51A05BEF" w14:textId="77777777" w:rsidR="009C7F5E" w:rsidRPr="0095783C" w:rsidRDefault="0A472660" w:rsidP="59FD2E7B">
            <w:pPr>
              <w:widowControl/>
              <w:autoSpaceDE/>
              <w:autoSpaceDN/>
              <w:jc w:val="center"/>
            </w:pPr>
            <w:r w:rsidRPr="0095783C">
              <w:t>100</w:t>
            </w:r>
          </w:p>
        </w:tc>
        <w:tc>
          <w:tcPr>
            <w:tcW w:w="178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0FF3C3B5" w14:textId="77777777" w:rsidR="009C7F5E" w:rsidRPr="0095783C" w:rsidRDefault="0A472660" w:rsidP="59FD2E7B">
            <w:pPr>
              <w:widowControl/>
              <w:autoSpaceDE/>
              <w:autoSpaceDN/>
              <w:jc w:val="center"/>
            </w:pPr>
            <w:r w:rsidRPr="0095783C">
              <w:t>96</w:t>
            </w:r>
          </w:p>
        </w:tc>
        <w:tc>
          <w:tcPr>
            <w:tcW w:w="1720" w:type="dxa"/>
            <w:tcBorders>
              <w:top w:val="single" w:sz="4" w:space="0" w:color="000000" w:themeColor="text1"/>
              <w:left w:val="nil"/>
              <w:bottom w:val="nil"/>
              <w:right w:val="single" w:sz="4" w:space="0" w:color="000000" w:themeColor="text1"/>
            </w:tcBorders>
            <w:noWrap/>
            <w:vAlign w:val="bottom"/>
            <w:hideMark/>
          </w:tcPr>
          <w:p w14:paraId="15A7AF1A" w14:textId="77777777" w:rsidR="009C7F5E" w:rsidRPr="0095783C" w:rsidRDefault="0A472660" w:rsidP="59FD2E7B">
            <w:pPr>
              <w:widowControl/>
              <w:autoSpaceDE/>
              <w:autoSpaceDN/>
              <w:jc w:val="center"/>
            </w:pPr>
            <w:r w:rsidRPr="0095783C">
              <w:t>100</w:t>
            </w:r>
          </w:p>
        </w:tc>
      </w:tr>
      <w:tr w:rsidR="0095783C" w:rsidRPr="0095783C" w14:paraId="386E620C"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480CA717" w14:textId="77777777" w:rsidR="009C7F5E" w:rsidRPr="0095783C" w:rsidRDefault="0A472660" w:rsidP="59FD2E7B">
            <w:pPr>
              <w:widowControl/>
              <w:autoSpaceDE/>
              <w:autoSpaceDN/>
            </w:pPr>
            <w:r w:rsidRPr="0095783C">
              <w:t xml:space="preserve">Elementary Education </w:t>
            </w:r>
          </w:p>
        </w:tc>
        <w:tc>
          <w:tcPr>
            <w:tcW w:w="1700" w:type="dxa"/>
            <w:tcBorders>
              <w:top w:val="single" w:sz="4" w:space="0" w:color="000000" w:themeColor="text1"/>
              <w:left w:val="single" w:sz="4" w:space="0" w:color="000000" w:themeColor="text1"/>
              <w:bottom w:val="nil"/>
              <w:right w:val="nil"/>
            </w:tcBorders>
            <w:noWrap/>
            <w:vAlign w:val="bottom"/>
            <w:hideMark/>
          </w:tcPr>
          <w:p w14:paraId="287303EF" w14:textId="77777777" w:rsidR="009C7F5E" w:rsidRPr="0095783C" w:rsidRDefault="0A472660" w:rsidP="59FD2E7B">
            <w:pPr>
              <w:widowControl/>
              <w:autoSpaceDE/>
              <w:autoSpaceDN/>
              <w:jc w:val="center"/>
            </w:pPr>
            <w:r w:rsidRPr="0095783C">
              <w:t>98</w:t>
            </w:r>
          </w:p>
        </w:tc>
        <w:tc>
          <w:tcPr>
            <w:tcW w:w="178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5F6AB4D9" w14:textId="77777777" w:rsidR="009C7F5E" w:rsidRPr="0095783C" w:rsidRDefault="0A472660" w:rsidP="59FD2E7B">
            <w:pPr>
              <w:widowControl/>
              <w:autoSpaceDE/>
              <w:autoSpaceDN/>
              <w:jc w:val="center"/>
            </w:pPr>
            <w:r w:rsidRPr="0095783C">
              <w:t>97</w:t>
            </w:r>
          </w:p>
        </w:tc>
        <w:tc>
          <w:tcPr>
            <w:tcW w:w="1720" w:type="dxa"/>
            <w:tcBorders>
              <w:top w:val="single" w:sz="4" w:space="0" w:color="000000" w:themeColor="text1"/>
              <w:left w:val="nil"/>
              <w:bottom w:val="nil"/>
              <w:right w:val="single" w:sz="4" w:space="0" w:color="000000" w:themeColor="text1"/>
            </w:tcBorders>
            <w:noWrap/>
            <w:vAlign w:val="bottom"/>
            <w:hideMark/>
          </w:tcPr>
          <w:p w14:paraId="1BA8DE8C" w14:textId="77777777" w:rsidR="009C7F5E" w:rsidRPr="0095783C" w:rsidRDefault="0A472660" w:rsidP="59FD2E7B">
            <w:pPr>
              <w:widowControl/>
              <w:autoSpaceDE/>
              <w:autoSpaceDN/>
              <w:jc w:val="center"/>
            </w:pPr>
            <w:r w:rsidRPr="0095783C">
              <w:t>97</w:t>
            </w:r>
          </w:p>
        </w:tc>
      </w:tr>
      <w:tr w:rsidR="0095783C" w:rsidRPr="0095783C" w14:paraId="0AFD0481"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7DB4413E" w14:textId="77777777" w:rsidR="009C7F5E" w:rsidRPr="0095783C" w:rsidRDefault="0A472660" w:rsidP="59FD2E7B">
            <w:pPr>
              <w:widowControl/>
              <w:autoSpaceDE/>
              <w:autoSpaceDN/>
            </w:pPr>
            <w:r w:rsidRPr="0095783C">
              <w:t xml:space="preserve">English Language Arts </w:t>
            </w:r>
          </w:p>
        </w:tc>
        <w:tc>
          <w:tcPr>
            <w:tcW w:w="1700" w:type="dxa"/>
            <w:tcBorders>
              <w:top w:val="single" w:sz="4" w:space="0" w:color="000000" w:themeColor="text1"/>
              <w:left w:val="single" w:sz="4" w:space="0" w:color="000000" w:themeColor="text1"/>
              <w:bottom w:val="nil"/>
              <w:right w:val="nil"/>
            </w:tcBorders>
            <w:noWrap/>
            <w:vAlign w:val="bottom"/>
            <w:hideMark/>
          </w:tcPr>
          <w:p w14:paraId="0737F464" w14:textId="77777777" w:rsidR="009C7F5E" w:rsidRPr="0095783C" w:rsidRDefault="0A472660" w:rsidP="59FD2E7B">
            <w:pPr>
              <w:widowControl/>
              <w:autoSpaceDE/>
              <w:autoSpaceDN/>
              <w:jc w:val="center"/>
            </w:pPr>
            <w:r w:rsidRPr="0095783C">
              <w:t>100</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8A76664"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nil"/>
              <w:bottom w:val="nil"/>
              <w:right w:val="single" w:sz="4" w:space="0" w:color="000000" w:themeColor="text1"/>
            </w:tcBorders>
            <w:noWrap/>
            <w:vAlign w:val="bottom"/>
            <w:hideMark/>
          </w:tcPr>
          <w:p w14:paraId="190FB770" w14:textId="77777777" w:rsidR="009C7F5E" w:rsidRPr="0095783C" w:rsidRDefault="0A472660" w:rsidP="59FD2E7B">
            <w:pPr>
              <w:widowControl/>
              <w:autoSpaceDE/>
              <w:autoSpaceDN/>
              <w:jc w:val="center"/>
            </w:pPr>
            <w:r w:rsidRPr="0095783C">
              <w:t>79</w:t>
            </w:r>
          </w:p>
        </w:tc>
      </w:tr>
      <w:tr w:rsidR="0095783C" w:rsidRPr="0095783C" w14:paraId="4EB6243C" w14:textId="77777777" w:rsidTr="59FD2E7B">
        <w:trPr>
          <w:trHeight w:val="300"/>
          <w:jc w:val="center"/>
        </w:trPr>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7A280E9" w14:textId="77777777" w:rsidR="009C7F5E" w:rsidRPr="0095783C" w:rsidRDefault="0A472660" w:rsidP="59FD2E7B">
            <w:pPr>
              <w:widowControl/>
              <w:autoSpaceDE/>
              <w:autoSpaceDN/>
            </w:pPr>
            <w:r w:rsidRPr="0095783C">
              <w:t xml:space="preserve">Learning Behavior Specialist I </w:t>
            </w:r>
          </w:p>
        </w:tc>
        <w:tc>
          <w:tcPr>
            <w:tcW w:w="1700"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20383F64" w14:textId="77777777" w:rsidR="009C7F5E" w:rsidRPr="0095783C" w:rsidRDefault="0A472660" w:rsidP="59FD2E7B">
            <w:pPr>
              <w:widowControl/>
              <w:autoSpaceDE/>
              <w:autoSpaceDN/>
              <w:jc w:val="center"/>
            </w:pPr>
            <w:r w:rsidRPr="0095783C">
              <w:t>92</w:t>
            </w:r>
          </w:p>
        </w:tc>
        <w:tc>
          <w:tcPr>
            <w:tcW w:w="1780" w:type="dxa"/>
            <w:tcBorders>
              <w:top w:val="nil"/>
              <w:left w:val="nil"/>
              <w:bottom w:val="nil"/>
              <w:right w:val="single" w:sz="4" w:space="0" w:color="000000" w:themeColor="text1"/>
            </w:tcBorders>
            <w:noWrap/>
            <w:vAlign w:val="bottom"/>
            <w:hideMark/>
          </w:tcPr>
          <w:p w14:paraId="28E4A384" w14:textId="77777777" w:rsidR="009C7F5E" w:rsidRPr="0095783C" w:rsidRDefault="0A472660" w:rsidP="59FD2E7B">
            <w:pPr>
              <w:widowControl/>
              <w:autoSpaceDE/>
              <w:autoSpaceDN/>
              <w:jc w:val="center"/>
            </w:pPr>
            <w:r w:rsidRPr="0095783C">
              <w:t>99</w:t>
            </w:r>
          </w:p>
        </w:tc>
        <w:tc>
          <w:tcPr>
            <w:tcW w:w="1720" w:type="dxa"/>
            <w:tcBorders>
              <w:top w:val="single" w:sz="4" w:space="0" w:color="000000" w:themeColor="text1"/>
              <w:left w:val="nil"/>
              <w:bottom w:val="nil"/>
              <w:right w:val="single" w:sz="4" w:space="0" w:color="000000" w:themeColor="text1"/>
            </w:tcBorders>
            <w:noWrap/>
            <w:vAlign w:val="bottom"/>
            <w:hideMark/>
          </w:tcPr>
          <w:p w14:paraId="6661BDAB" w14:textId="77777777" w:rsidR="009C7F5E" w:rsidRPr="0095783C" w:rsidRDefault="0A472660" w:rsidP="59FD2E7B">
            <w:pPr>
              <w:widowControl/>
              <w:autoSpaceDE/>
              <w:autoSpaceDN/>
              <w:jc w:val="center"/>
            </w:pPr>
            <w:r w:rsidRPr="0095783C">
              <w:t>100</w:t>
            </w:r>
          </w:p>
        </w:tc>
      </w:tr>
      <w:tr w:rsidR="0095783C" w:rsidRPr="0095783C" w14:paraId="05A56C29" w14:textId="77777777" w:rsidTr="59FD2E7B">
        <w:trPr>
          <w:trHeight w:val="300"/>
          <w:jc w:val="center"/>
        </w:trPr>
        <w:tc>
          <w:tcPr>
            <w:tcW w:w="3280" w:type="dxa"/>
            <w:tcBorders>
              <w:top w:val="nil"/>
              <w:left w:val="single" w:sz="4" w:space="0" w:color="000000" w:themeColor="text1"/>
              <w:bottom w:val="nil"/>
              <w:right w:val="nil"/>
            </w:tcBorders>
            <w:noWrap/>
            <w:vAlign w:val="bottom"/>
            <w:hideMark/>
          </w:tcPr>
          <w:p w14:paraId="3C98E6D7" w14:textId="77777777" w:rsidR="009C7F5E" w:rsidRPr="0095783C" w:rsidRDefault="0A472660" w:rsidP="59FD2E7B">
            <w:pPr>
              <w:widowControl/>
              <w:autoSpaceDE/>
              <w:autoSpaceDN/>
            </w:pPr>
            <w:r w:rsidRPr="0095783C">
              <w:t xml:space="preserve">Mathematics </w:t>
            </w:r>
          </w:p>
        </w:tc>
        <w:tc>
          <w:tcPr>
            <w:tcW w:w="1700" w:type="dxa"/>
            <w:tcBorders>
              <w:top w:val="nil"/>
              <w:left w:val="single" w:sz="4" w:space="0" w:color="000000" w:themeColor="text1"/>
              <w:bottom w:val="nil"/>
              <w:right w:val="nil"/>
            </w:tcBorders>
            <w:noWrap/>
            <w:vAlign w:val="bottom"/>
            <w:hideMark/>
          </w:tcPr>
          <w:p w14:paraId="50DCA62A" w14:textId="77777777" w:rsidR="009C7F5E" w:rsidRPr="0095783C" w:rsidRDefault="0A472660" w:rsidP="59FD2E7B">
            <w:pPr>
              <w:widowControl/>
              <w:autoSpaceDE/>
              <w:autoSpaceDN/>
              <w:jc w:val="center"/>
            </w:pPr>
            <w:r w:rsidRPr="0095783C">
              <w:t>93</w:t>
            </w:r>
          </w:p>
        </w:tc>
        <w:tc>
          <w:tcPr>
            <w:tcW w:w="178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3BDF6DDA" w14:textId="77777777" w:rsidR="009C7F5E" w:rsidRPr="0095783C" w:rsidRDefault="0A472660" w:rsidP="59FD2E7B">
            <w:pPr>
              <w:widowControl/>
              <w:autoSpaceDE/>
              <w:autoSpaceDN/>
              <w:jc w:val="center"/>
            </w:pPr>
            <w:r w:rsidRPr="0095783C">
              <w:t>100</w:t>
            </w:r>
          </w:p>
        </w:tc>
        <w:tc>
          <w:tcPr>
            <w:tcW w:w="1720" w:type="dxa"/>
            <w:tcBorders>
              <w:top w:val="single" w:sz="4" w:space="0" w:color="000000" w:themeColor="text1"/>
              <w:left w:val="nil"/>
              <w:bottom w:val="nil"/>
              <w:right w:val="single" w:sz="4" w:space="0" w:color="000000" w:themeColor="text1"/>
            </w:tcBorders>
            <w:noWrap/>
            <w:vAlign w:val="bottom"/>
            <w:hideMark/>
          </w:tcPr>
          <w:p w14:paraId="058620D0" w14:textId="77777777" w:rsidR="009C7F5E" w:rsidRPr="0095783C" w:rsidRDefault="0A472660" w:rsidP="59FD2E7B">
            <w:pPr>
              <w:widowControl/>
              <w:autoSpaceDE/>
              <w:autoSpaceDN/>
              <w:jc w:val="center"/>
            </w:pPr>
            <w:r w:rsidRPr="0095783C">
              <w:t>100</w:t>
            </w:r>
          </w:p>
        </w:tc>
      </w:tr>
      <w:tr w:rsidR="0095783C" w:rsidRPr="0095783C" w14:paraId="3F000CD7"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363314E5" w14:textId="77777777" w:rsidR="009C7F5E" w:rsidRPr="0095783C" w:rsidRDefault="0A472660" w:rsidP="59FD2E7B">
            <w:pPr>
              <w:widowControl/>
              <w:autoSpaceDE/>
              <w:autoSpaceDN/>
            </w:pPr>
            <w:r w:rsidRPr="0095783C">
              <w:t xml:space="preserve">Music </w:t>
            </w:r>
          </w:p>
        </w:tc>
        <w:tc>
          <w:tcPr>
            <w:tcW w:w="1700" w:type="dxa"/>
            <w:tcBorders>
              <w:top w:val="single" w:sz="4" w:space="0" w:color="000000" w:themeColor="text1"/>
              <w:left w:val="single" w:sz="4" w:space="0" w:color="000000" w:themeColor="text1"/>
              <w:bottom w:val="nil"/>
              <w:right w:val="nil"/>
            </w:tcBorders>
            <w:noWrap/>
            <w:vAlign w:val="bottom"/>
            <w:hideMark/>
          </w:tcPr>
          <w:p w14:paraId="60B57147"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single" w:sz="4" w:space="0" w:color="000000" w:themeColor="text1"/>
              <w:bottom w:val="nil"/>
              <w:right w:val="nil"/>
            </w:tcBorders>
            <w:noWrap/>
            <w:vAlign w:val="bottom"/>
            <w:hideMark/>
          </w:tcPr>
          <w:p w14:paraId="2BC793B3" w14:textId="77777777" w:rsidR="009C7F5E" w:rsidRPr="0095783C" w:rsidRDefault="0A472660" w:rsidP="59FD2E7B">
            <w:pPr>
              <w:widowControl/>
              <w:autoSpaceDE/>
              <w:autoSpaceDN/>
              <w:jc w:val="center"/>
            </w:pPr>
            <w:r w:rsidRPr="0095783C">
              <w:t>83</w:t>
            </w:r>
          </w:p>
        </w:tc>
        <w:tc>
          <w:tcPr>
            <w:tcW w:w="172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227A0AE1" w14:textId="77777777" w:rsidR="009C7F5E" w:rsidRPr="0095783C" w:rsidRDefault="0A472660" w:rsidP="59FD2E7B">
            <w:pPr>
              <w:widowControl/>
              <w:autoSpaceDE/>
              <w:autoSpaceDN/>
              <w:jc w:val="center"/>
            </w:pPr>
            <w:r w:rsidRPr="0095783C">
              <w:t>86</w:t>
            </w:r>
          </w:p>
        </w:tc>
      </w:tr>
      <w:tr w:rsidR="0095783C" w:rsidRPr="0095783C" w14:paraId="427F4664"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7FF9694C" w14:textId="77777777" w:rsidR="009C7F5E" w:rsidRPr="0095783C" w:rsidRDefault="0A472660" w:rsidP="59FD2E7B">
            <w:pPr>
              <w:widowControl/>
              <w:autoSpaceDE/>
              <w:autoSpaceDN/>
            </w:pPr>
            <w:r w:rsidRPr="0095783C">
              <w:lastRenderedPageBreak/>
              <w:t xml:space="preserve">Reading Specialist </w:t>
            </w:r>
          </w:p>
        </w:tc>
        <w:tc>
          <w:tcPr>
            <w:tcW w:w="1700" w:type="dxa"/>
            <w:tcBorders>
              <w:top w:val="single" w:sz="4" w:space="0" w:color="000000" w:themeColor="text1"/>
              <w:left w:val="single" w:sz="4" w:space="0" w:color="000000" w:themeColor="text1"/>
              <w:bottom w:val="nil"/>
              <w:right w:val="nil"/>
            </w:tcBorders>
            <w:noWrap/>
            <w:vAlign w:val="bottom"/>
            <w:hideMark/>
          </w:tcPr>
          <w:p w14:paraId="1E49769B"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single" w:sz="4" w:space="0" w:color="000000" w:themeColor="text1"/>
              <w:bottom w:val="nil"/>
              <w:right w:val="nil"/>
            </w:tcBorders>
            <w:noWrap/>
            <w:vAlign w:val="bottom"/>
            <w:hideMark/>
          </w:tcPr>
          <w:p w14:paraId="0357E4AA"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5DEC04C1" w14:textId="77777777" w:rsidR="009C7F5E" w:rsidRPr="0095783C" w:rsidRDefault="0A472660" w:rsidP="59FD2E7B">
            <w:pPr>
              <w:widowControl/>
              <w:autoSpaceDE/>
              <w:autoSpaceDN/>
              <w:jc w:val="center"/>
            </w:pPr>
            <w:r w:rsidRPr="0095783C">
              <w:t>N/A</w:t>
            </w:r>
          </w:p>
        </w:tc>
      </w:tr>
      <w:tr w:rsidR="0095783C" w:rsidRPr="0095783C" w14:paraId="25E0EE1C"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27BC41D9" w14:textId="77777777" w:rsidR="009C7F5E" w:rsidRPr="0095783C" w:rsidRDefault="0A472660" w:rsidP="59FD2E7B">
            <w:pPr>
              <w:widowControl/>
              <w:autoSpaceDE/>
              <w:autoSpaceDN/>
            </w:pPr>
            <w:r w:rsidRPr="0095783C">
              <w:t xml:space="preserve">Science-Biology </w:t>
            </w:r>
          </w:p>
        </w:tc>
        <w:tc>
          <w:tcPr>
            <w:tcW w:w="170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7C36DB4C"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nil"/>
              <w:bottom w:val="nil"/>
              <w:right w:val="single" w:sz="4" w:space="0" w:color="000000" w:themeColor="text1"/>
            </w:tcBorders>
            <w:noWrap/>
            <w:vAlign w:val="bottom"/>
            <w:hideMark/>
          </w:tcPr>
          <w:p w14:paraId="5F87FF06"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nil"/>
              <w:bottom w:val="nil"/>
              <w:right w:val="single" w:sz="4" w:space="0" w:color="000000" w:themeColor="text1"/>
            </w:tcBorders>
            <w:noWrap/>
            <w:vAlign w:val="bottom"/>
            <w:hideMark/>
          </w:tcPr>
          <w:p w14:paraId="7F4F724D" w14:textId="77777777" w:rsidR="009C7F5E" w:rsidRPr="0095783C" w:rsidRDefault="0A472660" w:rsidP="59FD2E7B">
            <w:pPr>
              <w:widowControl/>
              <w:autoSpaceDE/>
              <w:autoSpaceDN/>
              <w:jc w:val="center"/>
            </w:pPr>
            <w:r w:rsidRPr="0095783C">
              <w:t>N/A</w:t>
            </w:r>
          </w:p>
        </w:tc>
      </w:tr>
      <w:tr w:rsidR="0095783C" w:rsidRPr="0095783C" w14:paraId="2A6B91FC"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411B5EA5" w14:textId="77777777" w:rsidR="009C7F5E" w:rsidRPr="0095783C" w:rsidRDefault="0A472660" w:rsidP="59FD2E7B">
            <w:pPr>
              <w:widowControl/>
              <w:autoSpaceDE/>
              <w:autoSpaceDN/>
            </w:pPr>
            <w:r w:rsidRPr="0095783C">
              <w:t xml:space="preserve">Science-Chemistry </w:t>
            </w:r>
          </w:p>
        </w:tc>
        <w:tc>
          <w:tcPr>
            <w:tcW w:w="1700" w:type="dxa"/>
            <w:tcBorders>
              <w:top w:val="single" w:sz="4" w:space="0" w:color="000000" w:themeColor="text1"/>
              <w:left w:val="single" w:sz="4" w:space="0" w:color="000000" w:themeColor="text1"/>
              <w:bottom w:val="nil"/>
              <w:right w:val="nil"/>
            </w:tcBorders>
            <w:noWrap/>
            <w:vAlign w:val="bottom"/>
            <w:hideMark/>
          </w:tcPr>
          <w:p w14:paraId="520ABBCD"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single" w:sz="4" w:space="0" w:color="000000" w:themeColor="text1"/>
              <w:bottom w:val="nil"/>
              <w:right w:val="nil"/>
            </w:tcBorders>
            <w:noWrap/>
            <w:vAlign w:val="bottom"/>
            <w:hideMark/>
          </w:tcPr>
          <w:p w14:paraId="00D39BD7"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510E3DF4" w14:textId="77777777" w:rsidR="009C7F5E" w:rsidRPr="0095783C" w:rsidRDefault="0A472660" w:rsidP="59FD2E7B">
            <w:pPr>
              <w:widowControl/>
              <w:autoSpaceDE/>
              <w:autoSpaceDN/>
              <w:jc w:val="center"/>
            </w:pPr>
            <w:r w:rsidRPr="0095783C">
              <w:t>N/A</w:t>
            </w:r>
          </w:p>
        </w:tc>
      </w:tr>
      <w:tr w:rsidR="0095783C" w:rsidRPr="0095783C" w14:paraId="468C22FC"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7BCC3567" w14:textId="77777777" w:rsidR="009C7F5E" w:rsidRPr="0095783C" w:rsidRDefault="0A472660" w:rsidP="59FD2E7B">
            <w:pPr>
              <w:widowControl/>
              <w:autoSpaceDE/>
              <w:autoSpaceDN/>
            </w:pPr>
            <w:r w:rsidRPr="0095783C">
              <w:t xml:space="preserve">Social Science-History </w:t>
            </w:r>
          </w:p>
        </w:tc>
        <w:tc>
          <w:tcPr>
            <w:tcW w:w="170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6429ADD9" w14:textId="77777777" w:rsidR="009C7F5E" w:rsidRPr="0095783C" w:rsidRDefault="0A472660" w:rsidP="59FD2E7B">
            <w:pPr>
              <w:widowControl/>
              <w:autoSpaceDE/>
              <w:autoSpaceDN/>
              <w:jc w:val="center"/>
            </w:pPr>
            <w:r w:rsidRPr="0095783C">
              <w:t>100</w:t>
            </w:r>
          </w:p>
        </w:tc>
        <w:tc>
          <w:tcPr>
            <w:tcW w:w="1780" w:type="dxa"/>
            <w:tcBorders>
              <w:top w:val="single" w:sz="4" w:space="0" w:color="000000" w:themeColor="text1"/>
              <w:left w:val="nil"/>
              <w:bottom w:val="nil"/>
              <w:right w:val="single" w:sz="4" w:space="0" w:color="000000" w:themeColor="text1"/>
            </w:tcBorders>
            <w:noWrap/>
            <w:vAlign w:val="bottom"/>
            <w:hideMark/>
          </w:tcPr>
          <w:p w14:paraId="2DFF3A5F" w14:textId="77777777" w:rsidR="009C7F5E" w:rsidRPr="0095783C" w:rsidRDefault="0A472660" w:rsidP="59FD2E7B">
            <w:pPr>
              <w:widowControl/>
              <w:autoSpaceDE/>
              <w:autoSpaceDN/>
              <w:jc w:val="center"/>
            </w:pPr>
            <w:r w:rsidRPr="0095783C">
              <w:t>100</w:t>
            </w:r>
          </w:p>
        </w:tc>
        <w:tc>
          <w:tcPr>
            <w:tcW w:w="1720" w:type="dxa"/>
            <w:tcBorders>
              <w:top w:val="single" w:sz="4" w:space="0" w:color="000000" w:themeColor="text1"/>
              <w:left w:val="nil"/>
              <w:bottom w:val="nil"/>
              <w:right w:val="single" w:sz="4" w:space="0" w:color="000000" w:themeColor="text1"/>
            </w:tcBorders>
            <w:noWrap/>
            <w:vAlign w:val="bottom"/>
            <w:hideMark/>
          </w:tcPr>
          <w:p w14:paraId="336F0E80" w14:textId="77777777" w:rsidR="009C7F5E" w:rsidRPr="0095783C" w:rsidRDefault="0A472660" w:rsidP="59FD2E7B">
            <w:pPr>
              <w:widowControl/>
              <w:autoSpaceDE/>
              <w:autoSpaceDN/>
              <w:jc w:val="center"/>
            </w:pPr>
            <w:r w:rsidRPr="0095783C">
              <w:t>95</w:t>
            </w:r>
          </w:p>
        </w:tc>
      </w:tr>
      <w:tr w:rsidR="0095783C" w:rsidRPr="0095783C" w14:paraId="524223BF"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0926F943" w14:textId="77777777" w:rsidR="009C7F5E" w:rsidRPr="0095783C" w:rsidRDefault="0A472660" w:rsidP="59FD2E7B">
            <w:pPr>
              <w:widowControl/>
              <w:autoSpaceDE/>
              <w:autoSpaceDN/>
            </w:pPr>
            <w:r w:rsidRPr="0095783C">
              <w:t xml:space="preserve">Visual Arts </w:t>
            </w:r>
          </w:p>
        </w:tc>
        <w:tc>
          <w:tcPr>
            <w:tcW w:w="1700" w:type="dxa"/>
            <w:tcBorders>
              <w:top w:val="single" w:sz="4" w:space="0" w:color="000000" w:themeColor="text1"/>
              <w:left w:val="single" w:sz="4" w:space="0" w:color="000000" w:themeColor="text1"/>
              <w:bottom w:val="nil"/>
              <w:right w:val="nil"/>
            </w:tcBorders>
            <w:noWrap/>
            <w:vAlign w:val="bottom"/>
            <w:hideMark/>
          </w:tcPr>
          <w:p w14:paraId="37353F68"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single" w:sz="4" w:space="0" w:color="000000" w:themeColor="text1"/>
              <w:bottom w:val="nil"/>
              <w:right w:val="nil"/>
            </w:tcBorders>
            <w:noWrap/>
            <w:vAlign w:val="bottom"/>
            <w:hideMark/>
          </w:tcPr>
          <w:p w14:paraId="10CE37E0" w14:textId="77777777" w:rsidR="009C7F5E" w:rsidRPr="0095783C" w:rsidRDefault="0A472660" w:rsidP="59FD2E7B">
            <w:pPr>
              <w:widowControl/>
              <w:autoSpaceDE/>
              <w:autoSpaceDN/>
              <w:jc w:val="center"/>
            </w:pPr>
            <w:r w:rsidRPr="0095783C">
              <w:t>90</w:t>
            </w:r>
          </w:p>
        </w:tc>
        <w:tc>
          <w:tcPr>
            <w:tcW w:w="172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52423D9A" w14:textId="77777777" w:rsidR="009C7F5E" w:rsidRPr="0095783C" w:rsidRDefault="0A472660" w:rsidP="59FD2E7B">
            <w:pPr>
              <w:widowControl/>
              <w:autoSpaceDE/>
              <w:autoSpaceDN/>
              <w:jc w:val="center"/>
            </w:pPr>
            <w:r w:rsidRPr="0095783C">
              <w:t>94</w:t>
            </w:r>
          </w:p>
        </w:tc>
      </w:tr>
      <w:tr w:rsidR="0095783C" w:rsidRPr="0095783C" w14:paraId="7FFFDFE6" w14:textId="77777777" w:rsidTr="59FD2E7B">
        <w:trPr>
          <w:trHeight w:val="300"/>
          <w:jc w:val="center"/>
        </w:trPr>
        <w:tc>
          <w:tcPr>
            <w:tcW w:w="3280" w:type="dxa"/>
            <w:tcBorders>
              <w:top w:val="single" w:sz="4" w:space="0" w:color="000000" w:themeColor="text1"/>
              <w:left w:val="single" w:sz="4" w:space="0" w:color="000000" w:themeColor="text1"/>
              <w:bottom w:val="nil"/>
              <w:right w:val="nil"/>
            </w:tcBorders>
            <w:noWrap/>
            <w:vAlign w:val="bottom"/>
            <w:hideMark/>
          </w:tcPr>
          <w:p w14:paraId="4E623851" w14:textId="2D04CF5C" w:rsidR="009C7F5E" w:rsidRPr="0095783C" w:rsidRDefault="0A472660" w:rsidP="59FD2E7B">
            <w:pPr>
              <w:widowControl/>
              <w:autoSpaceDE/>
              <w:autoSpaceDN/>
            </w:pPr>
            <w:r w:rsidRPr="0095783C">
              <w:t xml:space="preserve">World Language-German </w:t>
            </w:r>
          </w:p>
        </w:tc>
        <w:tc>
          <w:tcPr>
            <w:tcW w:w="1700" w:type="dxa"/>
            <w:tcBorders>
              <w:top w:val="single" w:sz="4" w:space="0" w:color="000000" w:themeColor="text1"/>
              <w:left w:val="single" w:sz="4" w:space="0" w:color="000000" w:themeColor="text1"/>
              <w:bottom w:val="nil"/>
              <w:right w:val="single" w:sz="4" w:space="0" w:color="000000" w:themeColor="text1"/>
            </w:tcBorders>
            <w:noWrap/>
            <w:vAlign w:val="bottom"/>
            <w:hideMark/>
          </w:tcPr>
          <w:p w14:paraId="291764C7"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nil"/>
              <w:bottom w:val="nil"/>
              <w:right w:val="single" w:sz="4" w:space="0" w:color="000000" w:themeColor="text1"/>
            </w:tcBorders>
            <w:noWrap/>
            <w:vAlign w:val="bottom"/>
            <w:hideMark/>
          </w:tcPr>
          <w:p w14:paraId="0181E89C"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nil"/>
              <w:bottom w:val="nil"/>
              <w:right w:val="single" w:sz="4" w:space="0" w:color="000000" w:themeColor="text1"/>
            </w:tcBorders>
            <w:noWrap/>
            <w:vAlign w:val="bottom"/>
            <w:hideMark/>
          </w:tcPr>
          <w:p w14:paraId="6FC552A1" w14:textId="77777777" w:rsidR="009C7F5E" w:rsidRPr="0095783C" w:rsidRDefault="0A472660" w:rsidP="59FD2E7B">
            <w:pPr>
              <w:widowControl/>
              <w:autoSpaceDE/>
              <w:autoSpaceDN/>
              <w:jc w:val="center"/>
            </w:pPr>
            <w:r w:rsidRPr="0095783C">
              <w:t>N/A</w:t>
            </w:r>
          </w:p>
        </w:tc>
      </w:tr>
      <w:tr w:rsidR="009C7F5E" w:rsidRPr="0095783C" w14:paraId="10194AD1" w14:textId="77777777" w:rsidTr="59FD2E7B">
        <w:trPr>
          <w:trHeight w:val="300"/>
          <w:jc w:val="center"/>
        </w:trPr>
        <w:tc>
          <w:tcPr>
            <w:tcW w:w="3280" w:type="dxa"/>
            <w:tcBorders>
              <w:top w:val="single" w:sz="4" w:space="0" w:color="000000" w:themeColor="text1"/>
              <w:left w:val="single" w:sz="4" w:space="0" w:color="000000" w:themeColor="text1"/>
              <w:bottom w:val="single" w:sz="4" w:space="0" w:color="000000" w:themeColor="text1"/>
              <w:right w:val="nil"/>
            </w:tcBorders>
            <w:noWrap/>
            <w:vAlign w:val="bottom"/>
            <w:hideMark/>
          </w:tcPr>
          <w:p w14:paraId="163D7836" w14:textId="0A026019" w:rsidR="009C7F5E" w:rsidRPr="0095783C" w:rsidRDefault="0A472660" w:rsidP="59FD2E7B">
            <w:pPr>
              <w:widowControl/>
              <w:autoSpaceDE/>
              <w:autoSpaceDN/>
            </w:pPr>
            <w:r w:rsidRPr="0095783C">
              <w:t xml:space="preserve">World Language-Spanish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F397A9F" w14:textId="77777777" w:rsidR="009C7F5E" w:rsidRPr="0095783C" w:rsidRDefault="0A472660" w:rsidP="59FD2E7B">
            <w:pPr>
              <w:widowControl/>
              <w:autoSpaceDE/>
              <w:autoSpaceDN/>
              <w:jc w:val="center"/>
            </w:pPr>
            <w:r w:rsidRPr="0095783C">
              <w:t>N/A</w:t>
            </w:r>
          </w:p>
        </w:tc>
        <w:tc>
          <w:tcPr>
            <w:tcW w:w="1780"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B21F8C8" w14:textId="77777777" w:rsidR="009C7F5E" w:rsidRPr="0095783C" w:rsidRDefault="0A472660" w:rsidP="59FD2E7B">
            <w:pPr>
              <w:widowControl/>
              <w:autoSpaceDE/>
              <w:autoSpaceDN/>
              <w:jc w:val="center"/>
            </w:pPr>
            <w:r w:rsidRPr="0095783C">
              <w:t>N/A</w:t>
            </w:r>
          </w:p>
        </w:tc>
        <w:tc>
          <w:tcPr>
            <w:tcW w:w="1720"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1151F464" w14:textId="77777777" w:rsidR="009C7F5E" w:rsidRPr="0095783C" w:rsidRDefault="0A472660" w:rsidP="59FD2E7B">
            <w:pPr>
              <w:widowControl/>
              <w:autoSpaceDE/>
              <w:autoSpaceDN/>
              <w:jc w:val="center"/>
            </w:pPr>
            <w:r w:rsidRPr="0095783C">
              <w:t>N/A</w:t>
            </w:r>
          </w:p>
        </w:tc>
      </w:tr>
    </w:tbl>
    <w:p w14:paraId="766511AB" w14:textId="5CC61BA1" w:rsidR="00FB03E9" w:rsidRPr="0095783C" w:rsidRDefault="00FB03E9" w:rsidP="00841112">
      <w:pPr>
        <w:tabs>
          <w:tab w:val="left" w:pos="7732"/>
        </w:tabs>
        <w:rPr>
          <w:position w:val="1"/>
          <w:sz w:val="20"/>
        </w:rPr>
      </w:pPr>
    </w:p>
    <w:sectPr w:rsidR="00FB03E9" w:rsidRPr="0095783C" w:rsidSect="00DA5884">
      <w:headerReference w:type="default" r:id="rId8"/>
      <w:footerReference w:type="default" r:id="rId9"/>
      <w:pgSz w:w="15840" w:h="12240" w:orient="landscape"/>
      <w:pgMar w:top="1440" w:right="1440" w:bottom="1440" w:left="14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8E10" w14:textId="77777777" w:rsidR="009D377F" w:rsidRDefault="009D377F">
      <w:r>
        <w:separator/>
      </w:r>
    </w:p>
  </w:endnote>
  <w:endnote w:type="continuationSeparator" w:id="0">
    <w:p w14:paraId="4122FF3C" w14:textId="77777777" w:rsidR="009D377F" w:rsidRDefault="009D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D895" w14:textId="77777777" w:rsidR="00FB03E9" w:rsidRDefault="00CE573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A4999CC" wp14:editId="249E05D2">
              <wp:simplePos x="0" y="0"/>
              <wp:positionH relativeFrom="page">
                <wp:posOffset>9029445</wp:posOffset>
              </wp:positionH>
              <wp:positionV relativeFrom="page">
                <wp:posOffset>6986292</wp:posOffset>
              </wp:positionV>
              <wp:extent cx="16700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6997FFA" w14:textId="77777777" w:rsidR="00FB03E9" w:rsidRDefault="00CE5737">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6A4999CC" id="_x0000_t202" coordsize="21600,21600" o:spt="202" path="m,l,21600r21600,l21600,xe">
              <v:stroke joinstyle="miter"/>
              <v:path gradientshapeok="t" o:connecttype="rect"/>
            </v:shapetype>
            <v:shape id="Textbox 6" o:spid="_x0000_s1026" type="#_x0000_t202" style="position:absolute;margin-left:711pt;margin-top:550.1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" filled="f" stroked="f">
              <v:textbox inset="0,0,0,0">
                <w:txbxContent>
                  <w:p w14:paraId="36997FFA" w14:textId="77777777" w:rsidR="00FB03E9" w:rsidRDefault="00CE5737">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DAAD" w14:textId="77777777" w:rsidR="009D377F" w:rsidRDefault="009D377F">
      <w:r>
        <w:separator/>
      </w:r>
    </w:p>
  </w:footnote>
  <w:footnote w:type="continuationSeparator" w:id="0">
    <w:p w14:paraId="22D88DF4" w14:textId="77777777" w:rsidR="009D377F" w:rsidRDefault="009D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5B07B0B9E7A4C55B42C4C9276A05C96"/>
      </w:placeholder>
      <w:temporary/>
      <w:showingPlcHdr/>
      <w15:appearance w15:val="hidden"/>
    </w:sdtPr>
    <w:sdtContent>
      <w:p w14:paraId="6422462B" w14:textId="77777777" w:rsidR="00A5323A" w:rsidRDefault="00A5323A">
        <w:pPr>
          <w:pStyle w:val="Header"/>
        </w:pPr>
        <w:r>
          <w:t>[Type here]</w:t>
        </w:r>
      </w:p>
    </w:sdtContent>
  </w:sdt>
  <w:p w14:paraId="59A1B35D" w14:textId="25024BCA" w:rsidR="0E928276" w:rsidRDefault="0E928276" w:rsidP="0E928276">
    <w:pPr>
      <w:pStyle w:val="BodyText"/>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E9"/>
    <w:rsid w:val="00044A41"/>
    <w:rsid w:val="00045DBD"/>
    <w:rsid w:val="000C794A"/>
    <w:rsid w:val="000D0ACB"/>
    <w:rsid w:val="000D4D5F"/>
    <w:rsid w:val="000F408F"/>
    <w:rsid w:val="00131FA2"/>
    <w:rsid w:val="001A5459"/>
    <w:rsid w:val="001B6487"/>
    <w:rsid w:val="001C0C10"/>
    <w:rsid w:val="001C2049"/>
    <w:rsid w:val="0027572A"/>
    <w:rsid w:val="002830E3"/>
    <w:rsid w:val="002A38C1"/>
    <w:rsid w:val="002E569A"/>
    <w:rsid w:val="002E7F0F"/>
    <w:rsid w:val="002F3440"/>
    <w:rsid w:val="00304183"/>
    <w:rsid w:val="00305CD6"/>
    <w:rsid w:val="00310A7C"/>
    <w:rsid w:val="003F5516"/>
    <w:rsid w:val="00410E32"/>
    <w:rsid w:val="00437EFB"/>
    <w:rsid w:val="004D6C39"/>
    <w:rsid w:val="004F48DB"/>
    <w:rsid w:val="00554210"/>
    <w:rsid w:val="00565B91"/>
    <w:rsid w:val="00580059"/>
    <w:rsid w:val="006316C2"/>
    <w:rsid w:val="006405B6"/>
    <w:rsid w:val="00654275"/>
    <w:rsid w:val="00654852"/>
    <w:rsid w:val="006636A9"/>
    <w:rsid w:val="0068500C"/>
    <w:rsid w:val="006F25FE"/>
    <w:rsid w:val="007071DF"/>
    <w:rsid w:val="00791160"/>
    <w:rsid w:val="007A1046"/>
    <w:rsid w:val="007B3E98"/>
    <w:rsid w:val="007D2D12"/>
    <w:rsid w:val="007F21E6"/>
    <w:rsid w:val="00824BAD"/>
    <w:rsid w:val="00841112"/>
    <w:rsid w:val="00860603"/>
    <w:rsid w:val="008D0DCD"/>
    <w:rsid w:val="008E21C4"/>
    <w:rsid w:val="008F2319"/>
    <w:rsid w:val="008F7E9A"/>
    <w:rsid w:val="00925B0B"/>
    <w:rsid w:val="0095783C"/>
    <w:rsid w:val="00970FF6"/>
    <w:rsid w:val="009C7F5E"/>
    <w:rsid w:val="009D377F"/>
    <w:rsid w:val="009F4311"/>
    <w:rsid w:val="00A17131"/>
    <w:rsid w:val="00A5323A"/>
    <w:rsid w:val="00AB5D3E"/>
    <w:rsid w:val="00AC25B2"/>
    <w:rsid w:val="00B561A0"/>
    <w:rsid w:val="00B62099"/>
    <w:rsid w:val="00BD75E1"/>
    <w:rsid w:val="00C66778"/>
    <w:rsid w:val="00C673FC"/>
    <w:rsid w:val="00C84B69"/>
    <w:rsid w:val="00C934C1"/>
    <w:rsid w:val="00CA07C1"/>
    <w:rsid w:val="00CB078D"/>
    <w:rsid w:val="00CE5737"/>
    <w:rsid w:val="00D016DF"/>
    <w:rsid w:val="00D21FC2"/>
    <w:rsid w:val="00D46C53"/>
    <w:rsid w:val="00DA5884"/>
    <w:rsid w:val="00DB5CBD"/>
    <w:rsid w:val="00E452AF"/>
    <w:rsid w:val="00E67969"/>
    <w:rsid w:val="00E84A63"/>
    <w:rsid w:val="00E90272"/>
    <w:rsid w:val="00EA4958"/>
    <w:rsid w:val="00EB1849"/>
    <w:rsid w:val="00EE6123"/>
    <w:rsid w:val="00EF5FCA"/>
    <w:rsid w:val="00F92BE9"/>
    <w:rsid w:val="00F92C0F"/>
    <w:rsid w:val="00FB03E9"/>
    <w:rsid w:val="0692AF8F"/>
    <w:rsid w:val="0A472660"/>
    <w:rsid w:val="0ACDC1AB"/>
    <w:rsid w:val="0E928276"/>
    <w:rsid w:val="102B02B0"/>
    <w:rsid w:val="1102E82A"/>
    <w:rsid w:val="158BEDFD"/>
    <w:rsid w:val="158D32FC"/>
    <w:rsid w:val="22C93973"/>
    <w:rsid w:val="230488EC"/>
    <w:rsid w:val="2D70D9A8"/>
    <w:rsid w:val="32B5B8CD"/>
    <w:rsid w:val="35B96360"/>
    <w:rsid w:val="388FE931"/>
    <w:rsid w:val="39F818E5"/>
    <w:rsid w:val="4BBB3B51"/>
    <w:rsid w:val="4DF7F83F"/>
    <w:rsid w:val="52FB240E"/>
    <w:rsid w:val="5894638E"/>
    <w:rsid w:val="59FD2E7B"/>
    <w:rsid w:val="612622AF"/>
    <w:rsid w:val="66BEFF6C"/>
    <w:rsid w:val="6BC8B317"/>
    <w:rsid w:val="6E6973B9"/>
    <w:rsid w:val="7442C126"/>
    <w:rsid w:val="7C5A1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2FEE"/>
  <w15:docId w15:val="{138D56CD-67F8-4B77-A212-9747EC0E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2049"/>
    <w:pPr>
      <w:tabs>
        <w:tab w:val="center" w:pos="4680"/>
        <w:tab w:val="right" w:pos="9360"/>
      </w:tabs>
    </w:pPr>
  </w:style>
  <w:style w:type="character" w:customStyle="1" w:styleId="HeaderChar">
    <w:name w:val="Header Char"/>
    <w:basedOn w:val="DefaultParagraphFont"/>
    <w:link w:val="Header"/>
    <w:uiPriority w:val="99"/>
    <w:rsid w:val="001C2049"/>
    <w:rPr>
      <w:rFonts w:ascii="Times New Roman" w:eastAsia="Times New Roman" w:hAnsi="Times New Roman" w:cs="Times New Roman"/>
    </w:rPr>
  </w:style>
  <w:style w:type="paragraph" w:styleId="Footer">
    <w:name w:val="footer"/>
    <w:basedOn w:val="Normal"/>
    <w:link w:val="FooterChar"/>
    <w:uiPriority w:val="99"/>
    <w:unhideWhenUsed/>
    <w:rsid w:val="001C2049"/>
    <w:pPr>
      <w:tabs>
        <w:tab w:val="center" w:pos="4680"/>
        <w:tab w:val="right" w:pos="9360"/>
      </w:tabs>
    </w:pPr>
  </w:style>
  <w:style w:type="character" w:customStyle="1" w:styleId="FooterChar">
    <w:name w:val="Footer Char"/>
    <w:basedOn w:val="DefaultParagraphFont"/>
    <w:link w:val="Footer"/>
    <w:uiPriority w:val="99"/>
    <w:rsid w:val="001C2049"/>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DA58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Performance</a:t>
            </a:r>
            <a:r>
              <a:rPr lang="en-US" baseline="0"/>
              <a:t> Rating by Program 2020-2024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2018-2022</c:v>
                </c:pt>
              </c:strCache>
            </c:strRef>
          </c:tx>
          <c:spPr>
            <a:solidFill>
              <a:schemeClr val="accent1"/>
            </a:solidFill>
            <a:ln>
              <a:noFill/>
            </a:ln>
            <a:effectLst/>
          </c:spPr>
          <c:invertIfNegative val="0"/>
          <c:cat>
            <c:strRef>
              <c:f>Sheet1!$A$2:$A$15</c:f>
              <c:strCache>
                <c:ptCount val="14"/>
                <c:pt idx="0">
                  <c:v>Agricultural Education (21)</c:v>
                </c:pt>
                <c:pt idx="1">
                  <c:v>Early Childhood Education (28)</c:v>
                </c:pt>
                <c:pt idx="2">
                  <c:v>Elementary Education (152)</c:v>
                </c:pt>
                <c:pt idx="3">
                  <c:v>English Language Arts (14)</c:v>
                </c:pt>
                <c:pt idx="4">
                  <c:v>Learning Behavior Specialist I (76)</c:v>
                </c:pt>
                <c:pt idx="5">
                  <c:v>Mathematics (12)</c:v>
                </c:pt>
                <c:pt idx="6">
                  <c:v>Music (14)</c:v>
                </c:pt>
                <c:pt idx="7">
                  <c:v>Reading Specialist (0)</c:v>
                </c:pt>
                <c:pt idx="8">
                  <c:v>Science-Biology (0)</c:v>
                </c:pt>
                <c:pt idx="9">
                  <c:v>Science-Chemistry (0)</c:v>
                </c:pt>
                <c:pt idx="10">
                  <c:v>Social Science-History (20)</c:v>
                </c:pt>
                <c:pt idx="11">
                  <c:v>Visual Arts (16)</c:v>
                </c:pt>
                <c:pt idx="12">
                  <c:v>World Laguage-German (0)</c:v>
                </c:pt>
                <c:pt idx="13">
                  <c:v>World Laguage-Spainish (0) </c:v>
                </c:pt>
              </c:strCache>
            </c:strRef>
          </c:cat>
          <c:val>
            <c:numRef>
              <c:f>Sheet1!$B$2:$B$15</c:f>
              <c:numCache>
                <c:formatCode>General</c:formatCode>
                <c:ptCount val="14"/>
                <c:pt idx="0">
                  <c:v>100</c:v>
                </c:pt>
                <c:pt idx="1">
                  <c:v>100</c:v>
                </c:pt>
                <c:pt idx="2">
                  <c:v>98</c:v>
                </c:pt>
                <c:pt idx="3">
                  <c:v>100</c:v>
                </c:pt>
                <c:pt idx="4">
                  <c:v>92</c:v>
                </c:pt>
                <c:pt idx="5">
                  <c:v>93</c:v>
                </c:pt>
                <c:pt idx="6">
                  <c:v>0</c:v>
                </c:pt>
                <c:pt idx="7">
                  <c:v>0</c:v>
                </c:pt>
                <c:pt idx="8">
                  <c:v>0</c:v>
                </c:pt>
                <c:pt idx="9">
                  <c:v>0</c:v>
                </c:pt>
                <c:pt idx="10">
                  <c:v>100</c:v>
                </c:pt>
                <c:pt idx="11">
                  <c:v>0</c:v>
                </c:pt>
                <c:pt idx="12">
                  <c:v>0</c:v>
                </c:pt>
                <c:pt idx="13">
                  <c:v>0</c:v>
                </c:pt>
              </c:numCache>
            </c:numRef>
          </c:val>
          <c:extLst>
            <c:ext xmlns:c16="http://schemas.microsoft.com/office/drawing/2014/chart" uri="{C3380CC4-5D6E-409C-BE32-E72D297353CC}">
              <c16:uniqueId val="{00000000-620D-4ACA-A720-15253F720C9D}"/>
            </c:ext>
          </c:extLst>
        </c:ser>
        <c:ser>
          <c:idx val="1"/>
          <c:order val="1"/>
          <c:tx>
            <c:strRef>
              <c:f>Sheet1!$C$1</c:f>
              <c:strCache>
                <c:ptCount val="1"/>
                <c:pt idx="0">
                  <c:v>2019-2023</c:v>
                </c:pt>
              </c:strCache>
            </c:strRef>
          </c:tx>
          <c:spPr>
            <a:solidFill>
              <a:schemeClr val="accent2"/>
            </a:solidFill>
            <a:ln>
              <a:noFill/>
            </a:ln>
            <a:effectLst/>
          </c:spPr>
          <c:invertIfNegative val="0"/>
          <c:cat>
            <c:strRef>
              <c:f>Sheet1!$A$2:$A$15</c:f>
              <c:strCache>
                <c:ptCount val="14"/>
                <c:pt idx="0">
                  <c:v>Agricultural Education (21)</c:v>
                </c:pt>
                <c:pt idx="1">
                  <c:v>Early Childhood Education (28)</c:v>
                </c:pt>
                <c:pt idx="2">
                  <c:v>Elementary Education (152)</c:v>
                </c:pt>
                <c:pt idx="3">
                  <c:v>English Language Arts (14)</c:v>
                </c:pt>
                <c:pt idx="4">
                  <c:v>Learning Behavior Specialist I (76)</c:v>
                </c:pt>
                <c:pt idx="5">
                  <c:v>Mathematics (12)</c:v>
                </c:pt>
                <c:pt idx="6">
                  <c:v>Music (14)</c:v>
                </c:pt>
                <c:pt idx="7">
                  <c:v>Reading Specialist (0)</c:v>
                </c:pt>
                <c:pt idx="8">
                  <c:v>Science-Biology (0)</c:v>
                </c:pt>
                <c:pt idx="9">
                  <c:v>Science-Chemistry (0)</c:v>
                </c:pt>
                <c:pt idx="10">
                  <c:v>Social Science-History (20)</c:v>
                </c:pt>
                <c:pt idx="11">
                  <c:v>Visual Arts (16)</c:v>
                </c:pt>
                <c:pt idx="12">
                  <c:v>World Laguage-German (0)</c:v>
                </c:pt>
                <c:pt idx="13">
                  <c:v>World Laguage-Spainish (0) </c:v>
                </c:pt>
              </c:strCache>
            </c:strRef>
          </c:cat>
          <c:val>
            <c:numRef>
              <c:f>Sheet1!$C$2:$C$15</c:f>
              <c:numCache>
                <c:formatCode>General</c:formatCode>
                <c:ptCount val="14"/>
                <c:pt idx="0">
                  <c:v>100</c:v>
                </c:pt>
                <c:pt idx="1">
                  <c:v>96</c:v>
                </c:pt>
                <c:pt idx="2">
                  <c:v>97</c:v>
                </c:pt>
                <c:pt idx="3">
                  <c:v>0</c:v>
                </c:pt>
                <c:pt idx="4">
                  <c:v>99</c:v>
                </c:pt>
                <c:pt idx="5">
                  <c:v>100</c:v>
                </c:pt>
                <c:pt idx="6">
                  <c:v>83</c:v>
                </c:pt>
                <c:pt idx="7">
                  <c:v>0</c:v>
                </c:pt>
                <c:pt idx="8">
                  <c:v>0</c:v>
                </c:pt>
                <c:pt idx="9">
                  <c:v>0</c:v>
                </c:pt>
                <c:pt idx="10">
                  <c:v>100</c:v>
                </c:pt>
                <c:pt idx="11">
                  <c:v>90</c:v>
                </c:pt>
                <c:pt idx="12">
                  <c:v>0</c:v>
                </c:pt>
                <c:pt idx="13">
                  <c:v>0</c:v>
                </c:pt>
              </c:numCache>
            </c:numRef>
          </c:val>
          <c:extLst>
            <c:ext xmlns:c16="http://schemas.microsoft.com/office/drawing/2014/chart" uri="{C3380CC4-5D6E-409C-BE32-E72D297353CC}">
              <c16:uniqueId val="{00000000-84EE-4552-A11F-046DCFEE1BEA}"/>
            </c:ext>
          </c:extLst>
        </c:ser>
        <c:ser>
          <c:idx val="2"/>
          <c:order val="2"/>
          <c:tx>
            <c:strRef>
              <c:f>Sheet1!$D$1</c:f>
              <c:strCache>
                <c:ptCount val="1"/>
                <c:pt idx="0">
                  <c:v>2020-2024</c:v>
                </c:pt>
              </c:strCache>
            </c:strRef>
          </c:tx>
          <c:spPr>
            <a:solidFill>
              <a:schemeClr val="accent3"/>
            </a:solidFill>
            <a:ln>
              <a:noFill/>
            </a:ln>
            <a:effectLst/>
          </c:spPr>
          <c:invertIfNegative val="0"/>
          <c:cat>
            <c:strRef>
              <c:f>Sheet1!$A$2:$A$15</c:f>
              <c:strCache>
                <c:ptCount val="14"/>
                <c:pt idx="0">
                  <c:v>Agricultural Education (21)</c:v>
                </c:pt>
                <c:pt idx="1">
                  <c:v>Early Childhood Education (28)</c:v>
                </c:pt>
                <c:pt idx="2">
                  <c:v>Elementary Education (152)</c:v>
                </c:pt>
                <c:pt idx="3">
                  <c:v>English Language Arts (14)</c:v>
                </c:pt>
                <c:pt idx="4">
                  <c:v>Learning Behavior Specialist I (76)</c:v>
                </c:pt>
                <c:pt idx="5">
                  <c:v>Mathematics (12)</c:v>
                </c:pt>
                <c:pt idx="6">
                  <c:v>Music (14)</c:v>
                </c:pt>
                <c:pt idx="7">
                  <c:v>Reading Specialist (0)</c:v>
                </c:pt>
                <c:pt idx="8">
                  <c:v>Science-Biology (0)</c:v>
                </c:pt>
                <c:pt idx="9">
                  <c:v>Science-Chemistry (0)</c:v>
                </c:pt>
                <c:pt idx="10">
                  <c:v>Social Science-History (20)</c:v>
                </c:pt>
                <c:pt idx="11">
                  <c:v>Visual Arts (16)</c:v>
                </c:pt>
                <c:pt idx="12">
                  <c:v>World Laguage-German (0)</c:v>
                </c:pt>
                <c:pt idx="13">
                  <c:v>World Laguage-Spainish (0) </c:v>
                </c:pt>
              </c:strCache>
            </c:strRef>
          </c:cat>
          <c:val>
            <c:numRef>
              <c:f>Sheet1!$D$2:$D$15</c:f>
              <c:numCache>
                <c:formatCode>General</c:formatCode>
                <c:ptCount val="14"/>
                <c:pt idx="0">
                  <c:v>95</c:v>
                </c:pt>
                <c:pt idx="1">
                  <c:v>100</c:v>
                </c:pt>
                <c:pt idx="2">
                  <c:v>97</c:v>
                </c:pt>
                <c:pt idx="3">
                  <c:v>79</c:v>
                </c:pt>
                <c:pt idx="4">
                  <c:v>100</c:v>
                </c:pt>
                <c:pt idx="5">
                  <c:v>100</c:v>
                </c:pt>
                <c:pt idx="6">
                  <c:v>86</c:v>
                </c:pt>
                <c:pt idx="7">
                  <c:v>0</c:v>
                </c:pt>
                <c:pt idx="8">
                  <c:v>0</c:v>
                </c:pt>
                <c:pt idx="9">
                  <c:v>0</c:v>
                </c:pt>
                <c:pt idx="10">
                  <c:v>95</c:v>
                </c:pt>
                <c:pt idx="11">
                  <c:v>94</c:v>
                </c:pt>
                <c:pt idx="12">
                  <c:v>0</c:v>
                </c:pt>
                <c:pt idx="13">
                  <c:v>0</c:v>
                </c:pt>
              </c:numCache>
            </c:numRef>
          </c:val>
          <c:extLst>
            <c:ext xmlns:c16="http://schemas.microsoft.com/office/drawing/2014/chart" uri="{C3380CC4-5D6E-409C-BE32-E72D297353CC}">
              <c16:uniqueId val="{00000001-84EE-4552-A11F-046DCFEE1BEA}"/>
            </c:ext>
          </c:extLst>
        </c:ser>
        <c:dLbls>
          <c:showLegendKey val="0"/>
          <c:showVal val="0"/>
          <c:showCatName val="0"/>
          <c:showSerName val="0"/>
          <c:showPercent val="0"/>
          <c:showBubbleSize val="0"/>
        </c:dLbls>
        <c:gapWidth val="219"/>
        <c:axId val="1358797759"/>
        <c:axId val="1358802079"/>
      </c:barChart>
      <c:catAx>
        <c:axId val="135879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Programs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802079"/>
        <c:crosses val="autoZero"/>
        <c:auto val="1"/>
        <c:lblAlgn val="ctr"/>
        <c:lblOffset val="100"/>
        <c:noMultiLvlLbl val="0"/>
      </c:catAx>
      <c:valAx>
        <c:axId val="1358802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Completers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7977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07B0B9E7A4C55B42C4C9276A05C96"/>
        <w:category>
          <w:name w:val="General"/>
          <w:gallery w:val="placeholder"/>
        </w:category>
        <w:types>
          <w:type w:val="bbPlcHdr"/>
        </w:types>
        <w:behaviors>
          <w:behavior w:val="content"/>
        </w:behaviors>
        <w:guid w:val="{62FAE672-E7E8-4E13-8AFE-C2B304A9DCF2}"/>
      </w:docPartPr>
      <w:docPartBody>
        <w:p w:rsidR="00F37C28" w:rsidRDefault="00E65EC4" w:rsidP="00E65EC4">
          <w:pPr>
            <w:pStyle w:val="65B07B0B9E7A4C55B42C4C9276A05C9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C4"/>
    <w:rsid w:val="000D4D5F"/>
    <w:rsid w:val="00A17131"/>
    <w:rsid w:val="00E65EC4"/>
    <w:rsid w:val="00F37C28"/>
    <w:rsid w:val="00F4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07B0B9E7A4C55B42C4C9276A05C96">
    <w:name w:val="65B07B0B9E7A4C55B42C4C9276A05C96"/>
    <w:rsid w:val="00E65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C986-D2C1-4474-9A32-01BD15D756CD}">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3446</Characters>
  <Application>Microsoft Office Word</Application>
  <DocSecurity>0</DocSecurity>
  <Lines>127</Lines>
  <Paragraphs>96</Paragraphs>
  <ScaleCrop>false</ScaleCrop>
  <HeadingPairs>
    <vt:vector size="2" baseType="variant">
      <vt:variant>
        <vt:lpstr>Title</vt:lpstr>
      </vt:variant>
      <vt:variant>
        <vt:i4>1</vt:i4>
      </vt:variant>
    </vt:vector>
  </HeadingPairs>
  <TitlesOfParts>
    <vt:vector size="1" baseType="lpstr">
      <vt:lpstr>SOUTHERN ILLINOIS UNIVERSITY CARBONDALE</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CARBONDALE</dc:title>
  <dc:subject/>
  <dc:creator>April Haar</dc:creator>
  <cp:keywords/>
  <cp:lastModifiedBy>Cathey, Donya E</cp:lastModifiedBy>
  <cp:revision>2</cp:revision>
  <dcterms:created xsi:type="dcterms:W3CDTF">2026-04-13T17:40:00Z</dcterms:created>
  <dcterms:modified xsi:type="dcterms:W3CDTF">2026-04-13T17:40:00Z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